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A3" w:rsidRPr="00533FAC" w:rsidRDefault="005E6BA3" w:rsidP="005E6BA3">
      <w:pPr>
        <w:tabs>
          <w:tab w:val="left" w:pos="0"/>
          <w:tab w:val="left" w:pos="720"/>
          <w:tab w:val="left" w:pos="3662"/>
          <w:tab w:val="left" w:pos="7624"/>
        </w:tabs>
        <w:suppressAutoHyphens/>
        <w:jc w:val="center"/>
        <w:rPr>
          <w:rFonts w:ascii="Arial" w:hAnsi="Arial" w:cs="Arial"/>
          <w:b/>
          <w:sz w:val="32"/>
          <w:szCs w:val="32"/>
        </w:rPr>
      </w:pPr>
      <w:r w:rsidRPr="00533FAC">
        <w:rPr>
          <w:rFonts w:ascii="Arial Black" w:hAnsi="Arial Black"/>
          <w:b/>
          <w:bCs/>
          <w:spacing w:val="-2"/>
          <w:sz w:val="36"/>
          <w:szCs w:val="36"/>
        </w:rPr>
        <w:t>A BRIEF GUIDE TO PROPERTY TRANSFERS IN SOUTH AFRICA</w:t>
      </w:r>
    </w:p>
    <w:p w:rsidR="005E6BA3" w:rsidRDefault="005E6BA3" w:rsidP="005E6BA3">
      <w:pPr>
        <w:jc w:val="center"/>
        <w:rPr>
          <w:rFonts w:ascii="Arial" w:hAnsi="Arial" w:cs="Arial"/>
          <w:sz w:val="22"/>
          <w:szCs w:val="22"/>
        </w:rPr>
      </w:pPr>
    </w:p>
    <w:p w:rsidR="005E6BA3" w:rsidRDefault="005E6BA3" w:rsidP="005E6BA3">
      <w:pPr>
        <w:jc w:val="center"/>
        <w:rPr>
          <w:rFonts w:ascii="Arial" w:hAnsi="Arial" w:cs="Arial"/>
          <w:sz w:val="22"/>
          <w:szCs w:val="22"/>
        </w:rPr>
      </w:pPr>
      <w:r>
        <w:rPr>
          <w:rFonts w:ascii="Arial" w:hAnsi="Arial" w:cs="Arial"/>
          <w:sz w:val="22"/>
          <w:szCs w:val="22"/>
        </w:rPr>
        <w:t>Prepared by</w:t>
      </w:r>
    </w:p>
    <w:p w:rsidR="005E6BA3" w:rsidRDefault="005E6BA3" w:rsidP="005E6BA3">
      <w:pPr>
        <w:jc w:val="center"/>
        <w:rPr>
          <w:rFonts w:ascii="Arial" w:hAnsi="Arial" w:cs="Arial"/>
          <w:b/>
          <w:sz w:val="40"/>
          <w:szCs w:val="40"/>
        </w:rPr>
      </w:pPr>
      <w:r>
        <w:rPr>
          <w:rFonts w:ascii="Arial" w:hAnsi="Arial" w:cs="Arial"/>
          <w:b/>
          <w:sz w:val="40"/>
          <w:szCs w:val="40"/>
        </w:rPr>
        <w:t>Dykes &amp; Nel Attorneys</w:t>
      </w:r>
    </w:p>
    <w:p w:rsidR="005E6BA3" w:rsidRPr="00933433" w:rsidRDefault="005E6BA3" w:rsidP="005E6BA3">
      <w:pPr>
        <w:jc w:val="both"/>
        <w:rPr>
          <w:rFonts w:ascii="Arial" w:hAnsi="Arial" w:cs="Arial"/>
          <w:b/>
          <w:sz w:val="20"/>
          <w:szCs w:val="20"/>
        </w:rPr>
      </w:pPr>
    </w:p>
    <w:p w:rsidR="005E6BA3" w:rsidRPr="00933433" w:rsidRDefault="005E6BA3" w:rsidP="005E6BA3">
      <w:pPr>
        <w:numPr>
          <w:ilvl w:val="0"/>
          <w:numId w:val="1"/>
        </w:numPr>
        <w:tabs>
          <w:tab w:val="clear" w:pos="1080"/>
          <w:tab w:val="num" w:pos="540"/>
        </w:tabs>
        <w:spacing w:line="216" w:lineRule="auto"/>
        <w:ind w:left="540" w:hanging="360"/>
        <w:jc w:val="both"/>
        <w:rPr>
          <w:rFonts w:ascii="Arial" w:hAnsi="Arial" w:cs="Arial"/>
          <w:b/>
          <w:bCs/>
          <w:sz w:val="20"/>
          <w:szCs w:val="20"/>
        </w:rPr>
      </w:pPr>
      <w:r w:rsidRPr="00933433">
        <w:rPr>
          <w:rFonts w:ascii="Arial" w:hAnsi="Arial" w:cs="Arial"/>
          <w:b/>
          <w:bCs/>
          <w:sz w:val="20"/>
          <w:szCs w:val="20"/>
        </w:rPr>
        <w:t>WHAT IS CONVEYANCING?</w:t>
      </w:r>
    </w:p>
    <w:p w:rsidR="005E6BA3" w:rsidRPr="00933433" w:rsidRDefault="005E6BA3" w:rsidP="005E6BA3">
      <w:pPr>
        <w:pStyle w:val="BodyTextIndent2"/>
        <w:tabs>
          <w:tab w:val="num" w:pos="540"/>
        </w:tabs>
        <w:spacing w:line="216" w:lineRule="auto"/>
        <w:ind w:left="540" w:hanging="360"/>
        <w:rPr>
          <w:rFonts w:ascii="Arial" w:hAnsi="Arial" w:cs="Arial"/>
          <w:sz w:val="20"/>
        </w:rPr>
      </w:pPr>
      <w:r w:rsidRPr="00933433">
        <w:rPr>
          <w:rFonts w:ascii="Arial" w:hAnsi="Arial" w:cs="Arial"/>
          <w:sz w:val="20"/>
        </w:rPr>
        <w:tab/>
      </w:r>
      <w:proofErr w:type="spellStart"/>
      <w:r w:rsidRPr="00933433">
        <w:rPr>
          <w:rFonts w:ascii="Arial" w:hAnsi="Arial" w:cs="Arial"/>
          <w:sz w:val="20"/>
        </w:rPr>
        <w:t>Conveyancing</w:t>
      </w:r>
      <w:proofErr w:type="spellEnd"/>
      <w:r w:rsidRPr="00933433">
        <w:rPr>
          <w:rFonts w:ascii="Arial" w:hAnsi="Arial" w:cs="Arial"/>
          <w:sz w:val="20"/>
        </w:rPr>
        <w:t xml:space="preserve"> is the legal process whereby ownership in immovable property is transferred from one party to another and related aspects such as the registration of mortgage bonds and real rights in respect of immovable property.  Immovable property is any land (whether improved or not) such as a dwelling house, a farm, a vacant </w:t>
      </w:r>
      <w:proofErr w:type="spellStart"/>
      <w:r w:rsidRPr="00933433">
        <w:rPr>
          <w:rFonts w:ascii="Arial" w:hAnsi="Arial" w:cs="Arial"/>
          <w:sz w:val="20"/>
        </w:rPr>
        <w:t>erf</w:t>
      </w:r>
      <w:proofErr w:type="spellEnd"/>
      <w:r w:rsidRPr="00933433">
        <w:rPr>
          <w:rFonts w:ascii="Arial" w:hAnsi="Arial" w:cs="Arial"/>
          <w:sz w:val="20"/>
        </w:rPr>
        <w:t xml:space="preserve"> or a sectional title unit.  A </w:t>
      </w:r>
      <w:proofErr w:type="spellStart"/>
      <w:r w:rsidRPr="00933433">
        <w:rPr>
          <w:rFonts w:ascii="Arial" w:hAnsi="Arial" w:cs="Arial"/>
          <w:sz w:val="20"/>
        </w:rPr>
        <w:t>conveyancing</w:t>
      </w:r>
      <w:proofErr w:type="spellEnd"/>
      <w:r w:rsidRPr="00933433">
        <w:rPr>
          <w:rFonts w:ascii="Arial" w:hAnsi="Arial" w:cs="Arial"/>
          <w:sz w:val="20"/>
        </w:rPr>
        <w:t xml:space="preserve"> transaction involves a number of steps which normally begins with a Deed of Sale and continues through to the registration of transfer of ownership or the registration of the mortgage bond in the Deeds Office, the reconciliation of finances and the ultimate payment of the purchase price to the Seller.</w:t>
      </w:r>
    </w:p>
    <w:p w:rsidR="005E6BA3" w:rsidRPr="00933433" w:rsidRDefault="005E6BA3" w:rsidP="005E6BA3">
      <w:pPr>
        <w:tabs>
          <w:tab w:val="num" w:pos="540"/>
        </w:tabs>
        <w:spacing w:line="216" w:lineRule="auto"/>
        <w:ind w:left="540" w:hanging="360"/>
        <w:jc w:val="both"/>
        <w:rPr>
          <w:rFonts w:ascii="Arial" w:hAnsi="Arial" w:cs="Arial"/>
          <w:sz w:val="20"/>
          <w:szCs w:val="20"/>
        </w:rPr>
      </w:pPr>
    </w:p>
    <w:p w:rsidR="005E6BA3" w:rsidRPr="00933433" w:rsidRDefault="005E6BA3" w:rsidP="005E6BA3">
      <w:pPr>
        <w:numPr>
          <w:ilvl w:val="0"/>
          <w:numId w:val="1"/>
        </w:numPr>
        <w:tabs>
          <w:tab w:val="clear" w:pos="1080"/>
          <w:tab w:val="num" w:pos="540"/>
        </w:tabs>
        <w:spacing w:line="216" w:lineRule="auto"/>
        <w:ind w:left="540" w:hanging="360"/>
        <w:jc w:val="both"/>
        <w:rPr>
          <w:rFonts w:ascii="Arial" w:hAnsi="Arial" w:cs="Arial"/>
          <w:b/>
          <w:bCs/>
          <w:sz w:val="20"/>
          <w:szCs w:val="20"/>
        </w:rPr>
      </w:pPr>
      <w:r w:rsidRPr="00933433">
        <w:rPr>
          <w:rFonts w:ascii="Arial" w:hAnsi="Arial" w:cs="Arial"/>
          <w:b/>
          <w:bCs/>
          <w:sz w:val="20"/>
          <w:szCs w:val="20"/>
        </w:rPr>
        <w:t>WHAT IS A CONVEYANCER?</w:t>
      </w:r>
    </w:p>
    <w:p w:rsidR="005E6BA3" w:rsidRPr="00933433" w:rsidRDefault="005E6BA3" w:rsidP="005E6BA3">
      <w:pPr>
        <w:tabs>
          <w:tab w:val="num" w:pos="540"/>
        </w:tabs>
        <w:spacing w:line="216" w:lineRule="auto"/>
        <w:ind w:left="540" w:hanging="360"/>
        <w:jc w:val="both"/>
        <w:rPr>
          <w:rFonts w:ascii="Arial" w:hAnsi="Arial" w:cs="Arial"/>
          <w:sz w:val="20"/>
          <w:szCs w:val="20"/>
        </w:rPr>
      </w:pPr>
      <w:r w:rsidRPr="00933433">
        <w:rPr>
          <w:rFonts w:ascii="Arial" w:hAnsi="Arial" w:cs="Arial"/>
          <w:sz w:val="20"/>
          <w:szCs w:val="20"/>
        </w:rPr>
        <w:tab/>
        <w:t>A conveyancer is an attorney with a post-graduate qualification who by law is the only person who can register property transactions in the Deeds Offices.  This is necessary to ensure the protection of the interest of the parties to the transaction and to maintain the high standard of land registrations.</w:t>
      </w:r>
    </w:p>
    <w:p w:rsidR="005E6BA3" w:rsidRPr="00933433" w:rsidRDefault="005E6BA3" w:rsidP="005E6BA3">
      <w:pPr>
        <w:tabs>
          <w:tab w:val="num" w:pos="540"/>
        </w:tabs>
        <w:spacing w:line="216" w:lineRule="auto"/>
        <w:ind w:left="540" w:hanging="360"/>
        <w:jc w:val="both"/>
        <w:rPr>
          <w:rFonts w:ascii="Arial" w:hAnsi="Arial" w:cs="Arial"/>
          <w:sz w:val="20"/>
          <w:szCs w:val="20"/>
        </w:rPr>
      </w:pPr>
    </w:p>
    <w:p w:rsidR="005E6BA3" w:rsidRPr="00933433" w:rsidRDefault="005E6BA3" w:rsidP="005E6BA3">
      <w:pPr>
        <w:numPr>
          <w:ilvl w:val="0"/>
          <w:numId w:val="1"/>
        </w:numPr>
        <w:tabs>
          <w:tab w:val="num" w:pos="540"/>
        </w:tabs>
        <w:spacing w:line="216" w:lineRule="auto"/>
        <w:ind w:left="540" w:hanging="360"/>
        <w:jc w:val="both"/>
        <w:rPr>
          <w:rFonts w:ascii="Arial" w:hAnsi="Arial" w:cs="Arial"/>
          <w:b/>
          <w:bCs/>
          <w:sz w:val="20"/>
          <w:szCs w:val="20"/>
        </w:rPr>
      </w:pPr>
      <w:r w:rsidRPr="00933433">
        <w:rPr>
          <w:rFonts w:ascii="Arial" w:hAnsi="Arial" w:cs="Arial"/>
          <w:b/>
          <w:bCs/>
          <w:sz w:val="20"/>
          <w:szCs w:val="20"/>
        </w:rPr>
        <w:t>THE SALE OF IMMOVABLE PROPERTY: STEP BY STEP</w:t>
      </w:r>
    </w:p>
    <w:p w:rsidR="005E6BA3" w:rsidRPr="00933433" w:rsidRDefault="005E6BA3" w:rsidP="005E6BA3">
      <w:pPr>
        <w:numPr>
          <w:ilvl w:val="1"/>
          <w:numId w:val="2"/>
        </w:numPr>
        <w:tabs>
          <w:tab w:val="num" w:pos="540"/>
        </w:tabs>
        <w:spacing w:line="216" w:lineRule="auto"/>
        <w:ind w:left="540"/>
        <w:jc w:val="both"/>
        <w:rPr>
          <w:rFonts w:ascii="Arial" w:hAnsi="Arial" w:cs="Arial"/>
          <w:sz w:val="20"/>
          <w:szCs w:val="20"/>
        </w:rPr>
      </w:pPr>
      <w:r w:rsidRPr="00933433">
        <w:rPr>
          <w:rFonts w:ascii="Arial" w:hAnsi="Arial" w:cs="Arial"/>
          <w:sz w:val="20"/>
          <w:szCs w:val="20"/>
        </w:rPr>
        <w:t>Agreement of sale – a written agreement in which the Purchaser, the Seller and the immovable property as well as the purchase price is specified, is essential to constitute a binding agreement of sale.  A Deed of Sale must be signed by both the Purchaser and the Seller or a person who has been authorized by such party in terms of a written Power of Attorney.    A verbal contract for the sale of immovable property is unenforceable.</w:t>
      </w:r>
    </w:p>
    <w:p w:rsidR="005E6BA3" w:rsidRPr="00933433" w:rsidRDefault="005E6BA3" w:rsidP="005E6BA3">
      <w:pPr>
        <w:tabs>
          <w:tab w:val="num" w:pos="540"/>
        </w:tabs>
        <w:spacing w:line="216" w:lineRule="auto"/>
        <w:ind w:left="540" w:hanging="360"/>
        <w:jc w:val="both"/>
        <w:rPr>
          <w:rFonts w:ascii="Arial" w:hAnsi="Arial" w:cs="Arial"/>
          <w:sz w:val="20"/>
          <w:szCs w:val="20"/>
        </w:rPr>
      </w:pPr>
    </w:p>
    <w:p w:rsidR="005E6BA3" w:rsidRPr="00933433" w:rsidRDefault="005E6BA3" w:rsidP="005E6BA3">
      <w:pPr>
        <w:numPr>
          <w:ilvl w:val="1"/>
          <w:numId w:val="2"/>
        </w:numPr>
        <w:tabs>
          <w:tab w:val="num" w:pos="540"/>
        </w:tabs>
        <w:spacing w:line="216" w:lineRule="auto"/>
        <w:ind w:left="540"/>
        <w:jc w:val="both"/>
        <w:rPr>
          <w:rFonts w:ascii="Arial" w:hAnsi="Arial" w:cs="Arial"/>
          <w:sz w:val="20"/>
          <w:szCs w:val="20"/>
        </w:rPr>
      </w:pPr>
      <w:r w:rsidRPr="00933433">
        <w:rPr>
          <w:rFonts w:ascii="Arial" w:hAnsi="Arial" w:cs="Arial"/>
          <w:sz w:val="20"/>
          <w:szCs w:val="20"/>
        </w:rPr>
        <w:t>Transfer of the property – On receipt of the Agreement of Sale the conveyancer takes the necessary steps to effect registration of transfer of the immovable property in the relevant Deeds Office.  Both the Purchaser and the Seller will be required to call at the offices of the Conveyancer to sign the necessary transfer documents which have been prepared by the Conveyancer and which will enable him to effect transfer.  The Conveyancer requires the following:-</w:t>
      </w:r>
    </w:p>
    <w:p w:rsidR="005E6BA3" w:rsidRPr="00933433" w:rsidRDefault="005E6BA3" w:rsidP="005E6BA3">
      <w:pPr>
        <w:tabs>
          <w:tab w:val="left" w:pos="720"/>
        </w:tabs>
        <w:spacing w:line="216" w:lineRule="auto"/>
        <w:jc w:val="both"/>
        <w:rPr>
          <w:rFonts w:ascii="Arial" w:hAnsi="Arial" w:cs="Arial"/>
          <w:sz w:val="20"/>
          <w:szCs w:val="20"/>
        </w:rPr>
      </w:pPr>
    </w:p>
    <w:p w:rsidR="005E6BA3" w:rsidRPr="00933433" w:rsidRDefault="005E6BA3" w:rsidP="005E6BA3">
      <w:pPr>
        <w:tabs>
          <w:tab w:val="left" w:pos="1440"/>
        </w:tabs>
        <w:ind w:left="1440" w:hanging="1440"/>
        <w:jc w:val="both"/>
        <w:rPr>
          <w:rFonts w:ascii="Arial" w:hAnsi="Arial" w:cs="Arial"/>
          <w:sz w:val="20"/>
          <w:szCs w:val="20"/>
        </w:rPr>
      </w:pPr>
      <w:r w:rsidRPr="00933433">
        <w:rPr>
          <w:rFonts w:ascii="Arial" w:hAnsi="Arial" w:cs="Arial"/>
          <w:noProof/>
          <w:sz w:val="20"/>
          <w:szCs w:val="20"/>
        </w:rPr>
      </w:r>
      <w:r w:rsidRPr="00933433">
        <w:rPr>
          <w:rFonts w:ascii="Arial" w:hAnsi="Arial" w:cs="Arial"/>
          <w:sz w:val="20"/>
          <w:szCs w:val="20"/>
        </w:rPr>
        <w:pict>
          <v:group id="_x0000_s1026" editas="canvas" style="width:558pt;height:207pt;mso-position-horizontal-relative:char;mso-position-vertical-relative:line" coordorigin="2527,7005" coordsize="7200,2687" wrapcoords="639 0 639 21600 19742 21600 19742 0 639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7;top:7005;width:7200;height:268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759;top:7005;width:3111;height:2687">
              <v:textbox style="mso-next-textbox:#_x0000_s1028">
                <w:txbxContent>
                  <w:p w:rsidR="005E6BA3" w:rsidRDefault="005E6BA3" w:rsidP="005E6BA3">
                    <w:pPr>
                      <w:tabs>
                        <w:tab w:val="left" w:pos="1440"/>
                      </w:tabs>
                      <w:spacing w:line="216" w:lineRule="auto"/>
                      <w:ind w:left="360" w:hanging="360"/>
                      <w:jc w:val="both"/>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u w:val="single"/>
                      </w:rPr>
                      <w:t>From the Seller</w:t>
                    </w:r>
                    <w:r>
                      <w:rPr>
                        <w:rFonts w:ascii="Arial" w:hAnsi="Arial" w:cs="Arial"/>
                        <w:sz w:val="20"/>
                        <w:szCs w:val="20"/>
                      </w:rPr>
                      <w:t>:-</w:t>
                    </w:r>
                  </w:p>
                  <w:p w:rsidR="005E6BA3" w:rsidRDefault="005E6BA3" w:rsidP="005E6BA3">
                    <w:pPr>
                      <w:numPr>
                        <w:ilvl w:val="3"/>
                        <w:numId w:val="6"/>
                      </w:numPr>
                      <w:tabs>
                        <w:tab w:val="left" w:pos="360"/>
                        <w:tab w:val="left" w:pos="1800"/>
                      </w:tabs>
                      <w:spacing w:line="216" w:lineRule="auto"/>
                      <w:ind w:left="360"/>
                      <w:jc w:val="both"/>
                      <w:rPr>
                        <w:rFonts w:ascii="Arial" w:hAnsi="Arial" w:cs="Arial"/>
                        <w:sz w:val="20"/>
                        <w:szCs w:val="20"/>
                      </w:rPr>
                    </w:pPr>
                    <w:r>
                      <w:rPr>
                        <w:rFonts w:ascii="Arial" w:hAnsi="Arial" w:cs="Arial"/>
                        <w:sz w:val="20"/>
                        <w:szCs w:val="20"/>
                      </w:rPr>
                      <w:t>A Power of Attorney to pass transfer;</w:t>
                    </w:r>
                  </w:p>
                  <w:p w:rsidR="005E6BA3" w:rsidRDefault="005E6BA3" w:rsidP="005E6BA3">
                    <w:pPr>
                      <w:numPr>
                        <w:ilvl w:val="3"/>
                        <w:numId w:val="6"/>
                      </w:numPr>
                      <w:tabs>
                        <w:tab w:val="left" w:pos="360"/>
                        <w:tab w:val="left" w:pos="1800"/>
                      </w:tabs>
                      <w:spacing w:line="216" w:lineRule="auto"/>
                      <w:ind w:left="360"/>
                      <w:jc w:val="both"/>
                      <w:rPr>
                        <w:rFonts w:ascii="Arial" w:hAnsi="Arial" w:cs="Arial"/>
                        <w:sz w:val="20"/>
                        <w:szCs w:val="20"/>
                      </w:rPr>
                    </w:pPr>
                    <w:r>
                      <w:rPr>
                        <w:rFonts w:ascii="Arial" w:hAnsi="Arial" w:cs="Arial"/>
                        <w:sz w:val="20"/>
                        <w:szCs w:val="20"/>
                      </w:rPr>
                      <w:t>Declaration in respect of marital &amp; solvency status;</w:t>
                    </w:r>
                  </w:p>
                  <w:p w:rsidR="005E6BA3" w:rsidRDefault="005E6BA3" w:rsidP="005E6BA3">
                    <w:pPr>
                      <w:numPr>
                        <w:ilvl w:val="3"/>
                        <w:numId w:val="6"/>
                      </w:numPr>
                      <w:tabs>
                        <w:tab w:val="left" w:pos="360"/>
                        <w:tab w:val="num" w:pos="1800"/>
                      </w:tabs>
                      <w:spacing w:line="216" w:lineRule="auto"/>
                      <w:ind w:left="360"/>
                      <w:jc w:val="both"/>
                      <w:rPr>
                        <w:rFonts w:ascii="Arial" w:hAnsi="Arial" w:cs="Arial"/>
                        <w:sz w:val="20"/>
                        <w:szCs w:val="20"/>
                      </w:rPr>
                    </w:pPr>
                    <w:r>
                      <w:rPr>
                        <w:rFonts w:ascii="Arial" w:hAnsi="Arial" w:cs="Arial"/>
                        <w:sz w:val="20"/>
                        <w:szCs w:val="20"/>
                      </w:rPr>
                      <w:t>Particulars of Bond Holder;</w:t>
                    </w:r>
                  </w:p>
                  <w:p w:rsidR="005E6BA3" w:rsidRDefault="005E6BA3" w:rsidP="005E6BA3">
                    <w:pPr>
                      <w:numPr>
                        <w:ilvl w:val="3"/>
                        <w:numId w:val="6"/>
                      </w:numPr>
                      <w:tabs>
                        <w:tab w:val="left" w:pos="360"/>
                        <w:tab w:val="num" w:pos="1800"/>
                      </w:tabs>
                      <w:spacing w:line="216" w:lineRule="auto"/>
                      <w:ind w:left="360"/>
                      <w:jc w:val="both"/>
                      <w:rPr>
                        <w:rFonts w:ascii="Arial" w:hAnsi="Arial" w:cs="Arial"/>
                        <w:sz w:val="20"/>
                        <w:szCs w:val="20"/>
                      </w:rPr>
                    </w:pPr>
                    <w:r>
                      <w:rPr>
                        <w:rFonts w:ascii="Arial" w:hAnsi="Arial" w:cs="Arial"/>
                        <w:sz w:val="20"/>
                        <w:szCs w:val="20"/>
                      </w:rPr>
                      <w:t>Valid electrical wiring certificate;</w:t>
                    </w:r>
                  </w:p>
                  <w:p w:rsidR="005E6BA3" w:rsidRDefault="005E6BA3" w:rsidP="005E6BA3">
                    <w:pPr>
                      <w:numPr>
                        <w:ilvl w:val="3"/>
                        <w:numId w:val="6"/>
                      </w:numPr>
                      <w:tabs>
                        <w:tab w:val="left" w:pos="360"/>
                        <w:tab w:val="num" w:pos="1800"/>
                      </w:tabs>
                      <w:spacing w:line="216" w:lineRule="auto"/>
                      <w:ind w:left="360"/>
                      <w:jc w:val="both"/>
                      <w:rPr>
                        <w:rFonts w:ascii="Arial" w:hAnsi="Arial" w:cs="Arial"/>
                        <w:sz w:val="20"/>
                        <w:szCs w:val="20"/>
                      </w:rPr>
                    </w:pPr>
                    <w:r>
                      <w:rPr>
                        <w:rFonts w:ascii="Arial" w:hAnsi="Arial" w:cs="Arial"/>
                        <w:sz w:val="20"/>
                        <w:szCs w:val="20"/>
                      </w:rPr>
                      <w:t>VAT declaration (if applicable).</w:t>
                    </w:r>
                  </w:p>
                  <w:p w:rsidR="005E6BA3" w:rsidRDefault="005E6BA3" w:rsidP="005E6BA3">
                    <w:pPr>
                      <w:tabs>
                        <w:tab w:val="left" w:pos="1440"/>
                        <w:tab w:val="num" w:pos="1620"/>
                      </w:tabs>
                      <w:spacing w:line="216" w:lineRule="auto"/>
                      <w:ind w:left="360" w:hanging="360"/>
                      <w:jc w:val="both"/>
                      <w:rPr>
                        <w:rFonts w:ascii="Arial" w:hAnsi="Arial" w:cs="Arial"/>
                        <w:sz w:val="20"/>
                        <w:szCs w:val="20"/>
                      </w:rPr>
                    </w:pPr>
                  </w:p>
                  <w:p w:rsidR="005E6BA3" w:rsidRDefault="005E6BA3" w:rsidP="005E6BA3">
                    <w:pPr>
                      <w:tabs>
                        <w:tab w:val="left" w:pos="1440"/>
                      </w:tabs>
                      <w:spacing w:line="216" w:lineRule="auto"/>
                      <w:ind w:left="36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Pr>
                        <w:rFonts w:ascii="Arial" w:hAnsi="Arial" w:cs="Arial"/>
                        <w:sz w:val="20"/>
                        <w:szCs w:val="20"/>
                        <w:u w:val="single"/>
                      </w:rPr>
                      <w:t>From the Purchaser</w:t>
                    </w:r>
                    <w:r>
                      <w:rPr>
                        <w:rFonts w:ascii="Arial" w:hAnsi="Arial" w:cs="Arial"/>
                        <w:sz w:val="20"/>
                        <w:szCs w:val="20"/>
                      </w:rPr>
                      <w:t>:-</w:t>
                    </w:r>
                  </w:p>
                  <w:p w:rsidR="005E6BA3" w:rsidRDefault="005E6BA3" w:rsidP="005E6BA3">
                    <w:pPr>
                      <w:numPr>
                        <w:ilvl w:val="0"/>
                        <w:numId w:val="5"/>
                      </w:numPr>
                      <w:tabs>
                        <w:tab w:val="clear" w:pos="1800"/>
                        <w:tab w:val="num" w:pos="360"/>
                      </w:tabs>
                      <w:spacing w:line="216" w:lineRule="auto"/>
                      <w:ind w:left="360"/>
                      <w:jc w:val="both"/>
                      <w:rPr>
                        <w:rFonts w:ascii="Arial" w:hAnsi="Arial" w:cs="Arial"/>
                        <w:sz w:val="20"/>
                        <w:szCs w:val="20"/>
                      </w:rPr>
                    </w:pPr>
                    <w:r>
                      <w:rPr>
                        <w:rFonts w:ascii="Arial" w:hAnsi="Arial" w:cs="Arial"/>
                        <w:sz w:val="20"/>
                        <w:szCs w:val="20"/>
                      </w:rPr>
                      <w:t>Declaration in respect of marital &amp; solvency status;</w:t>
                    </w:r>
                  </w:p>
                  <w:p w:rsidR="005E6BA3" w:rsidRDefault="005E6BA3" w:rsidP="005E6BA3">
                    <w:pPr>
                      <w:numPr>
                        <w:ilvl w:val="0"/>
                        <w:numId w:val="5"/>
                      </w:numPr>
                      <w:tabs>
                        <w:tab w:val="clear" w:pos="1800"/>
                        <w:tab w:val="num" w:pos="360"/>
                      </w:tabs>
                      <w:spacing w:line="216" w:lineRule="auto"/>
                      <w:ind w:left="360"/>
                      <w:jc w:val="both"/>
                      <w:rPr>
                        <w:rFonts w:ascii="Arial" w:hAnsi="Arial" w:cs="Arial"/>
                        <w:sz w:val="20"/>
                        <w:szCs w:val="20"/>
                      </w:rPr>
                    </w:pPr>
                    <w:r>
                      <w:rPr>
                        <w:rFonts w:ascii="Arial" w:hAnsi="Arial" w:cs="Arial"/>
                        <w:sz w:val="20"/>
                        <w:szCs w:val="20"/>
                      </w:rPr>
                      <w:t>Particulars concerning the identity of the Attorney transferring the Purchaser’s property if the Purchaser is utilizing the proceeds to pay for his purchase;</w:t>
                    </w:r>
                  </w:p>
                  <w:p w:rsidR="005E6BA3" w:rsidRDefault="005E6BA3" w:rsidP="005E6BA3">
                    <w:pPr>
                      <w:numPr>
                        <w:ilvl w:val="0"/>
                        <w:numId w:val="5"/>
                      </w:numPr>
                      <w:tabs>
                        <w:tab w:val="clear" w:pos="1800"/>
                        <w:tab w:val="num" w:pos="360"/>
                      </w:tabs>
                      <w:spacing w:line="216" w:lineRule="auto"/>
                      <w:ind w:left="360"/>
                      <w:jc w:val="both"/>
                      <w:rPr>
                        <w:rFonts w:ascii="Arial" w:hAnsi="Arial" w:cs="Arial"/>
                        <w:sz w:val="20"/>
                        <w:szCs w:val="20"/>
                      </w:rPr>
                    </w:pPr>
                    <w:r>
                      <w:rPr>
                        <w:rFonts w:ascii="Arial" w:hAnsi="Arial" w:cs="Arial"/>
                        <w:sz w:val="20"/>
                        <w:szCs w:val="20"/>
                      </w:rPr>
                      <w:t>Particulars of the bond granted;</w:t>
                    </w:r>
                  </w:p>
                  <w:p w:rsidR="005E6BA3" w:rsidRDefault="005E6BA3" w:rsidP="005E6BA3">
                    <w:pPr>
                      <w:numPr>
                        <w:ilvl w:val="0"/>
                        <w:numId w:val="5"/>
                      </w:numPr>
                      <w:tabs>
                        <w:tab w:val="clear" w:pos="1800"/>
                        <w:tab w:val="num" w:pos="360"/>
                      </w:tabs>
                      <w:spacing w:line="216" w:lineRule="auto"/>
                      <w:ind w:left="360"/>
                      <w:jc w:val="both"/>
                      <w:rPr>
                        <w:rFonts w:ascii="Arial" w:hAnsi="Arial" w:cs="Arial"/>
                        <w:sz w:val="20"/>
                        <w:szCs w:val="20"/>
                      </w:rPr>
                    </w:pPr>
                    <w:r>
                      <w:rPr>
                        <w:rFonts w:ascii="Arial" w:hAnsi="Arial" w:cs="Arial"/>
                        <w:sz w:val="20"/>
                        <w:szCs w:val="20"/>
                      </w:rPr>
                      <w:t>Transfer duty and / or VAT declaration (if applicable).</w:t>
                    </w:r>
                  </w:p>
                  <w:p w:rsidR="005E6BA3" w:rsidRDefault="005E6BA3" w:rsidP="005E6BA3">
                    <w:pPr>
                      <w:tabs>
                        <w:tab w:val="left" w:pos="1440"/>
                        <w:tab w:val="num" w:pos="1620"/>
                      </w:tabs>
                      <w:spacing w:line="216" w:lineRule="auto"/>
                      <w:ind w:left="360" w:hanging="360"/>
                      <w:jc w:val="both"/>
                      <w:rPr>
                        <w:rFonts w:ascii="Arial" w:hAnsi="Arial" w:cs="Arial"/>
                        <w:sz w:val="16"/>
                        <w:szCs w:val="16"/>
                      </w:rPr>
                    </w:pPr>
                  </w:p>
                  <w:p w:rsidR="005E6BA3" w:rsidRDefault="005E6BA3" w:rsidP="005E6BA3">
                    <w:pPr>
                      <w:tabs>
                        <w:tab w:val="left" w:pos="1440"/>
                      </w:tabs>
                      <w:ind w:left="1440" w:hanging="1440"/>
                      <w:jc w:val="both"/>
                      <w:rPr>
                        <w:rFonts w:ascii="Arial" w:hAnsi="Arial" w:cs="Arial"/>
                        <w:sz w:val="16"/>
                        <w:szCs w:val="16"/>
                      </w:rPr>
                    </w:pPr>
                  </w:p>
                  <w:p w:rsidR="005E6BA3" w:rsidRDefault="005E6BA3" w:rsidP="005E6BA3"/>
                </w:txbxContent>
              </v:textbox>
            </v:shape>
            <v:shape id="_x0000_s1029" type="#_x0000_t202" style="position:absolute;left:6015;top:7005;width:3071;height:2687">
              <v:textbox style="mso-next-textbox:#_x0000_s1029">
                <w:txbxContent>
                  <w:p w:rsidR="005E6BA3" w:rsidRDefault="005E6BA3" w:rsidP="005E6BA3">
                    <w:pPr>
                      <w:tabs>
                        <w:tab w:val="left" w:pos="1440"/>
                      </w:tabs>
                      <w:spacing w:line="216" w:lineRule="auto"/>
                      <w:ind w:left="360" w:hanging="360"/>
                      <w:jc w:val="both"/>
                      <w:rPr>
                        <w:rFonts w:ascii="Arial" w:hAnsi="Arial" w:cs="Arial"/>
                        <w:sz w:val="20"/>
                        <w:szCs w:val="20"/>
                      </w:rPr>
                    </w:pPr>
                    <w:r>
                      <w:rPr>
                        <w:rFonts w:ascii="Arial" w:hAnsi="Arial" w:cs="Arial"/>
                        <w:sz w:val="20"/>
                        <w:szCs w:val="20"/>
                      </w:rPr>
                      <w:t>C</w:t>
                    </w:r>
                    <w:r>
                      <w:rPr>
                        <w:rFonts w:ascii="Arial" w:hAnsi="Arial" w:cs="Arial"/>
                        <w:sz w:val="20"/>
                        <w:szCs w:val="20"/>
                      </w:rPr>
                      <w:tab/>
                    </w:r>
                    <w:r>
                      <w:rPr>
                        <w:rFonts w:ascii="Arial" w:hAnsi="Arial" w:cs="Arial"/>
                        <w:sz w:val="20"/>
                        <w:szCs w:val="20"/>
                        <w:u w:val="single"/>
                      </w:rPr>
                      <w:t>From the existing Bondholder</w:t>
                    </w:r>
                    <w:r>
                      <w:rPr>
                        <w:rFonts w:ascii="Arial" w:hAnsi="Arial" w:cs="Arial"/>
                        <w:sz w:val="20"/>
                        <w:szCs w:val="20"/>
                      </w:rPr>
                      <w:t>:-</w:t>
                    </w:r>
                  </w:p>
                  <w:p w:rsidR="005E6BA3" w:rsidRDefault="005E6BA3" w:rsidP="005E6BA3">
                    <w:pPr>
                      <w:numPr>
                        <w:ilvl w:val="3"/>
                        <w:numId w:val="4"/>
                      </w:numPr>
                      <w:tabs>
                        <w:tab w:val="num" w:pos="360"/>
                      </w:tabs>
                      <w:spacing w:line="216" w:lineRule="auto"/>
                      <w:ind w:left="360"/>
                      <w:jc w:val="both"/>
                      <w:rPr>
                        <w:rFonts w:ascii="Arial" w:hAnsi="Arial" w:cs="Arial"/>
                        <w:sz w:val="20"/>
                        <w:szCs w:val="20"/>
                      </w:rPr>
                    </w:pPr>
                    <w:r>
                      <w:rPr>
                        <w:rFonts w:ascii="Arial" w:hAnsi="Arial" w:cs="Arial"/>
                        <w:sz w:val="20"/>
                        <w:szCs w:val="20"/>
                      </w:rPr>
                      <w:t>Cancellation figures and Title Deed;</w:t>
                    </w:r>
                  </w:p>
                  <w:p w:rsidR="005E6BA3" w:rsidRDefault="005E6BA3" w:rsidP="005E6BA3">
                    <w:pPr>
                      <w:numPr>
                        <w:ilvl w:val="3"/>
                        <w:numId w:val="4"/>
                      </w:numPr>
                      <w:tabs>
                        <w:tab w:val="num" w:pos="360"/>
                      </w:tabs>
                      <w:spacing w:line="216" w:lineRule="auto"/>
                      <w:ind w:left="360"/>
                      <w:jc w:val="both"/>
                      <w:rPr>
                        <w:rFonts w:ascii="Arial" w:hAnsi="Arial" w:cs="Arial"/>
                        <w:sz w:val="20"/>
                        <w:szCs w:val="20"/>
                      </w:rPr>
                    </w:pPr>
                    <w:r>
                      <w:rPr>
                        <w:rFonts w:ascii="Arial" w:hAnsi="Arial" w:cs="Arial"/>
                        <w:sz w:val="20"/>
                        <w:szCs w:val="20"/>
                      </w:rPr>
                      <w:t>Particulars of 2</w:t>
                    </w:r>
                    <w:r>
                      <w:rPr>
                        <w:rFonts w:ascii="Arial" w:hAnsi="Arial" w:cs="Arial"/>
                        <w:sz w:val="20"/>
                        <w:szCs w:val="20"/>
                        <w:vertAlign w:val="superscript"/>
                      </w:rPr>
                      <w:t>nd</w:t>
                    </w:r>
                    <w:r>
                      <w:rPr>
                        <w:rFonts w:ascii="Arial" w:hAnsi="Arial" w:cs="Arial"/>
                        <w:sz w:val="20"/>
                        <w:szCs w:val="20"/>
                      </w:rPr>
                      <w:t xml:space="preserve"> or further bond holders;</w:t>
                    </w:r>
                  </w:p>
                  <w:p w:rsidR="005E6BA3" w:rsidRDefault="005E6BA3" w:rsidP="005E6BA3">
                    <w:pPr>
                      <w:numPr>
                        <w:ilvl w:val="3"/>
                        <w:numId w:val="4"/>
                      </w:numPr>
                      <w:tabs>
                        <w:tab w:val="num" w:pos="360"/>
                      </w:tabs>
                      <w:spacing w:line="216" w:lineRule="auto"/>
                      <w:ind w:left="360"/>
                      <w:jc w:val="both"/>
                      <w:rPr>
                        <w:rFonts w:ascii="Arial" w:hAnsi="Arial" w:cs="Arial"/>
                        <w:sz w:val="20"/>
                        <w:szCs w:val="20"/>
                      </w:rPr>
                    </w:pPr>
                    <w:r>
                      <w:rPr>
                        <w:rFonts w:ascii="Arial" w:hAnsi="Arial" w:cs="Arial"/>
                        <w:sz w:val="20"/>
                        <w:szCs w:val="20"/>
                      </w:rPr>
                      <w:t>Identity of attorneys attending to the bond cancellation.</w:t>
                    </w:r>
                  </w:p>
                  <w:p w:rsidR="005E6BA3" w:rsidRDefault="005E6BA3" w:rsidP="005E6BA3">
                    <w:pPr>
                      <w:tabs>
                        <w:tab w:val="left" w:pos="1440"/>
                        <w:tab w:val="num" w:pos="1620"/>
                      </w:tabs>
                      <w:spacing w:line="216" w:lineRule="auto"/>
                      <w:ind w:left="360" w:hanging="360"/>
                      <w:jc w:val="both"/>
                      <w:rPr>
                        <w:rFonts w:ascii="Arial" w:hAnsi="Arial" w:cs="Arial"/>
                        <w:sz w:val="20"/>
                        <w:szCs w:val="20"/>
                      </w:rPr>
                    </w:pPr>
                  </w:p>
                  <w:p w:rsidR="005E6BA3" w:rsidRDefault="005E6BA3" w:rsidP="005E6BA3">
                    <w:pPr>
                      <w:tabs>
                        <w:tab w:val="left" w:pos="1440"/>
                      </w:tabs>
                      <w:spacing w:line="216" w:lineRule="auto"/>
                      <w:ind w:left="360" w:hanging="360"/>
                      <w:jc w:val="both"/>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sz w:val="20"/>
                        <w:szCs w:val="20"/>
                        <w:u w:val="single"/>
                      </w:rPr>
                      <w:t>From the Purchaser’s transferring attorney in the event of a subject to offer</w:t>
                    </w:r>
                    <w:r>
                      <w:rPr>
                        <w:rFonts w:ascii="Arial" w:hAnsi="Arial" w:cs="Arial"/>
                        <w:sz w:val="20"/>
                        <w:szCs w:val="20"/>
                      </w:rPr>
                      <w:t>:-</w:t>
                    </w:r>
                  </w:p>
                  <w:p w:rsidR="005E6BA3" w:rsidRDefault="005E6BA3" w:rsidP="005E6BA3">
                    <w:pPr>
                      <w:numPr>
                        <w:ilvl w:val="0"/>
                        <w:numId w:val="3"/>
                      </w:numPr>
                      <w:tabs>
                        <w:tab w:val="clear" w:pos="1800"/>
                        <w:tab w:val="num" w:pos="360"/>
                        <w:tab w:val="num" w:pos="2880"/>
                      </w:tabs>
                      <w:spacing w:line="216" w:lineRule="auto"/>
                      <w:ind w:left="360"/>
                      <w:jc w:val="both"/>
                      <w:rPr>
                        <w:rFonts w:ascii="Arial" w:hAnsi="Arial" w:cs="Arial"/>
                        <w:sz w:val="20"/>
                        <w:szCs w:val="20"/>
                      </w:rPr>
                    </w:pPr>
                    <w:r>
                      <w:rPr>
                        <w:rFonts w:ascii="Arial" w:hAnsi="Arial" w:cs="Arial"/>
                        <w:sz w:val="20"/>
                        <w:szCs w:val="20"/>
                      </w:rPr>
                      <w:t>Confirmation that the transaction is proceeding;</w:t>
                    </w:r>
                  </w:p>
                  <w:p w:rsidR="005E6BA3" w:rsidRDefault="005E6BA3" w:rsidP="005E6BA3">
                    <w:pPr>
                      <w:numPr>
                        <w:ilvl w:val="0"/>
                        <w:numId w:val="3"/>
                      </w:numPr>
                      <w:tabs>
                        <w:tab w:val="clear" w:pos="1800"/>
                        <w:tab w:val="num" w:pos="360"/>
                        <w:tab w:val="num" w:pos="2880"/>
                      </w:tabs>
                      <w:spacing w:line="216" w:lineRule="auto"/>
                      <w:ind w:left="360"/>
                      <w:jc w:val="both"/>
                      <w:rPr>
                        <w:rFonts w:ascii="Arial" w:hAnsi="Arial" w:cs="Arial"/>
                        <w:sz w:val="20"/>
                        <w:szCs w:val="20"/>
                      </w:rPr>
                    </w:pPr>
                    <w:r>
                      <w:rPr>
                        <w:rFonts w:ascii="Arial" w:hAnsi="Arial" w:cs="Arial"/>
                        <w:sz w:val="20"/>
                        <w:szCs w:val="20"/>
                      </w:rPr>
                      <w:t>Particulars of estimated amount available;</w:t>
                    </w:r>
                  </w:p>
                  <w:p w:rsidR="005E6BA3" w:rsidRDefault="005E6BA3" w:rsidP="005E6BA3">
                    <w:pPr>
                      <w:numPr>
                        <w:ilvl w:val="0"/>
                        <w:numId w:val="3"/>
                      </w:numPr>
                      <w:tabs>
                        <w:tab w:val="clear" w:pos="1800"/>
                        <w:tab w:val="num" w:pos="360"/>
                        <w:tab w:val="num" w:pos="2880"/>
                      </w:tabs>
                      <w:spacing w:line="216" w:lineRule="auto"/>
                      <w:ind w:left="360"/>
                      <w:jc w:val="both"/>
                      <w:rPr>
                        <w:rFonts w:ascii="Arial" w:hAnsi="Arial" w:cs="Arial"/>
                        <w:sz w:val="20"/>
                        <w:szCs w:val="20"/>
                      </w:rPr>
                    </w:pPr>
                    <w:r>
                      <w:rPr>
                        <w:rFonts w:ascii="Arial" w:hAnsi="Arial" w:cs="Arial"/>
                        <w:sz w:val="20"/>
                        <w:szCs w:val="20"/>
                      </w:rPr>
                      <w:t>Feasibility of linking matters in the Deeds Office for simultaneous registration.</w:t>
                    </w:r>
                  </w:p>
                  <w:p w:rsidR="005E6BA3" w:rsidRDefault="005E6BA3" w:rsidP="005E6BA3">
                    <w:pPr>
                      <w:tabs>
                        <w:tab w:val="num" w:pos="2880"/>
                      </w:tabs>
                      <w:spacing w:line="216" w:lineRule="auto"/>
                      <w:ind w:left="360" w:hanging="360"/>
                      <w:jc w:val="both"/>
                      <w:rPr>
                        <w:rFonts w:ascii="Arial" w:hAnsi="Arial" w:cs="Arial"/>
                        <w:sz w:val="20"/>
                        <w:szCs w:val="20"/>
                      </w:rPr>
                    </w:pPr>
                  </w:p>
                  <w:p w:rsidR="005E6BA3" w:rsidRDefault="005E6BA3" w:rsidP="005E6BA3">
                    <w:pPr>
                      <w:tabs>
                        <w:tab w:val="left" w:pos="1440"/>
                        <w:tab w:val="num" w:pos="2880"/>
                      </w:tabs>
                      <w:spacing w:line="216" w:lineRule="auto"/>
                      <w:ind w:left="360" w:hanging="360"/>
                      <w:jc w:val="both"/>
                      <w:rPr>
                        <w:rFonts w:ascii="Arial" w:hAnsi="Arial" w:cs="Arial"/>
                        <w:sz w:val="20"/>
                        <w:szCs w:val="20"/>
                      </w:rPr>
                    </w:pPr>
                    <w:r>
                      <w:rPr>
                        <w:rFonts w:ascii="Arial" w:hAnsi="Arial" w:cs="Arial"/>
                        <w:sz w:val="20"/>
                        <w:szCs w:val="20"/>
                      </w:rPr>
                      <w:t>E</w:t>
                    </w:r>
                    <w:r>
                      <w:rPr>
                        <w:rFonts w:ascii="Arial" w:hAnsi="Arial" w:cs="Arial"/>
                        <w:sz w:val="20"/>
                        <w:szCs w:val="20"/>
                      </w:rPr>
                      <w:tab/>
                    </w:r>
                    <w:r>
                      <w:rPr>
                        <w:rFonts w:ascii="Arial" w:hAnsi="Arial" w:cs="Arial"/>
                        <w:sz w:val="20"/>
                        <w:szCs w:val="20"/>
                        <w:u w:val="single"/>
                      </w:rPr>
                      <w:t>From the Estate Agent</w:t>
                    </w:r>
                    <w:r>
                      <w:rPr>
                        <w:rFonts w:ascii="Arial" w:hAnsi="Arial" w:cs="Arial"/>
                        <w:sz w:val="20"/>
                        <w:szCs w:val="20"/>
                      </w:rPr>
                      <w:t>:-</w:t>
                    </w:r>
                  </w:p>
                  <w:p w:rsidR="005E6BA3" w:rsidRDefault="005E6BA3" w:rsidP="005E6BA3">
                    <w:pPr>
                      <w:numPr>
                        <w:ilvl w:val="0"/>
                        <w:numId w:val="9"/>
                      </w:numPr>
                      <w:tabs>
                        <w:tab w:val="clear" w:pos="720"/>
                        <w:tab w:val="num" w:pos="360"/>
                        <w:tab w:val="left" w:pos="1440"/>
                      </w:tabs>
                      <w:spacing w:line="216" w:lineRule="auto"/>
                      <w:ind w:left="360"/>
                      <w:jc w:val="both"/>
                      <w:rPr>
                        <w:rFonts w:ascii="Arial" w:hAnsi="Arial" w:cs="Arial"/>
                        <w:sz w:val="20"/>
                        <w:szCs w:val="20"/>
                      </w:rPr>
                    </w:pPr>
                    <w:r>
                      <w:rPr>
                        <w:rFonts w:ascii="Arial" w:hAnsi="Arial" w:cs="Arial"/>
                        <w:sz w:val="20"/>
                        <w:szCs w:val="20"/>
                      </w:rPr>
                      <w:t>Confirmation of payment of the deposit, the bond grant and relevant information.</w:t>
                    </w:r>
                  </w:p>
                  <w:p w:rsidR="005E6BA3" w:rsidRDefault="005E6BA3" w:rsidP="005E6BA3">
                    <w:pPr>
                      <w:rPr>
                        <w:sz w:val="20"/>
                        <w:szCs w:val="20"/>
                      </w:rPr>
                    </w:pPr>
                  </w:p>
                </w:txbxContent>
              </v:textbox>
            </v:shape>
            <w10:anchorlock/>
          </v:group>
        </w:pict>
      </w:r>
    </w:p>
    <w:p w:rsidR="005E6BA3" w:rsidRPr="00933433" w:rsidRDefault="005E6BA3" w:rsidP="005E6BA3">
      <w:pPr>
        <w:tabs>
          <w:tab w:val="left" w:pos="540"/>
        </w:tabs>
        <w:ind w:left="180"/>
        <w:jc w:val="both"/>
        <w:rPr>
          <w:rFonts w:ascii="Arial" w:hAnsi="Arial" w:cs="Arial"/>
          <w:sz w:val="20"/>
          <w:szCs w:val="20"/>
        </w:rPr>
      </w:pPr>
    </w:p>
    <w:p w:rsidR="005E6BA3" w:rsidRPr="00933433" w:rsidRDefault="005E6BA3" w:rsidP="005E6BA3">
      <w:pPr>
        <w:numPr>
          <w:ilvl w:val="1"/>
          <w:numId w:val="2"/>
        </w:numPr>
        <w:tabs>
          <w:tab w:val="left" w:pos="540"/>
        </w:tabs>
        <w:ind w:hanging="900"/>
        <w:jc w:val="both"/>
        <w:rPr>
          <w:rFonts w:ascii="Arial" w:hAnsi="Arial" w:cs="Arial"/>
          <w:sz w:val="20"/>
          <w:szCs w:val="20"/>
        </w:rPr>
      </w:pPr>
      <w:r w:rsidRPr="00933433">
        <w:rPr>
          <w:rFonts w:ascii="Arial" w:hAnsi="Arial" w:cs="Arial"/>
          <w:sz w:val="20"/>
          <w:szCs w:val="20"/>
          <w:u w:val="single"/>
        </w:rPr>
        <w:t>Upon receipt of the documents referred to in A – E</w:t>
      </w:r>
      <w:r w:rsidRPr="00933433">
        <w:rPr>
          <w:rFonts w:ascii="Arial" w:hAnsi="Arial" w:cs="Arial"/>
          <w:sz w:val="20"/>
          <w:szCs w:val="20"/>
        </w:rPr>
        <w:t>:-</w:t>
      </w:r>
    </w:p>
    <w:p w:rsidR="005E6BA3" w:rsidRPr="00933433" w:rsidRDefault="005E6BA3" w:rsidP="005E6BA3">
      <w:pPr>
        <w:numPr>
          <w:ilvl w:val="0"/>
          <w:numId w:val="10"/>
        </w:numPr>
        <w:tabs>
          <w:tab w:val="left" w:pos="540"/>
        </w:tabs>
        <w:jc w:val="both"/>
        <w:rPr>
          <w:rFonts w:ascii="Arial" w:hAnsi="Arial" w:cs="Arial"/>
          <w:sz w:val="20"/>
          <w:szCs w:val="20"/>
        </w:rPr>
      </w:pPr>
      <w:r w:rsidRPr="00933433">
        <w:rPr>
          <w:rFonts w:ascii="Arial" w:hAnsi="Arial" w:cs="Arial"/>
          <w:sz w:val="20"/>
          <w:szCs w:val="20"/>
        </w:rPr>
        <w:t>Transfer and/or bond documents are drawn;</w:t>
      </w:r>
    </w:p>
    <w:p w:rsidR="005E6BA3" w:rsidRPr="00933433" w:rsidRDefault="005E6BA3" w:rsidP="005E6BA3">
      <w:pPr>
        <w:numPr>
          <w:ilvl w:val="0"/>
          <w:numId w:val="10"/>
        </w:numPr>
        <w:tabs>
          <w:tab w:val="left" w:pos="540"/>
        </w:tabs>
        <w:jc w:val="both"/>
        <w:rPr>
          <w:rFonts w:ascii="Arial" w:hAnsi="Arial" w:cs="Arial"/>
          <w:sz w:val="20"/>
          <w:szCs w:val="20"/>
        </w:rPr>
      </w:pPr>
      <w:r w:rsidRPr="00933433">
        <w:rPr>
          <w:rFonts w:ascii="Arial" w:hAnsi="Arial" w:cs="Arial"/>
          <w:sz w:val="20"/>
          <w:szCs w:val="20"/>
        </w:rPr>
        <w:lastRenderedPageBreak/>
        <w:t>Accounts prepared for both seller and purchaser;</w:t>
      </w:r>
    </w:p>
    <w:p w:rsidR="005E6BA3" w:rsidRPr="00933433" w:rsidRDefault="005E6BA3" w:rsidP="005E6BA3">
      <w:pPr>
        <w:numPr>
          <w:ilvl w:val="0"/>
          <w:numId w:val="10"/>
        </w:numPr>
        <w:tabs>
          <w:tab w:val="left" w:pos="540"/>
        </w:tabs>
        <w:jc w:val="both"/>
        <w:rPr>
          <w:rFonts w:ascii="Arial" w:hAnsi="Arial" w:cs="Arial"/>
          <w:sz w:val="20"/>
          <w:szCs w:val="20"/>
        </w:rPr>
      </w:pPr>
      <w:r w:rsidRPr="00933433">
        <w:rPr>
          <w:rFonts w:ascii="Arial" w:hAnsi="Arial" w:cs="Arial"/>
          <w:sz w:val="20"/>
          <w:szCs w:val="20"/>
        </w:rPr>
        <w:t>Both Seller and Purchaser telephoned to arrange appointment for signature;</w:t>
      </w:r>
    </w:p>
    <w:p w:rsidR="005E6BA3" w:rsidRPr="00933433" w:rsidRDefault="005E6BA3" w:rsidP="005E6BA3">
      <w:pPr>
        <w:numPr>
          <w:ilvl w:val="0"/>
          <w:numId w:val="10"/>
        </w:numPr>
        <w:tabs>
          <w:tab w:val="left" w:pos="540"/>
        </w:tabs>
        <w:jc w:val="both"/>
        <w:rPr>
          <w:rFonts w:ascii="Arial" w:hAnsi="Arial" w:cs="Arial"/>
          <w:sz w:val="20"/>
          <w:szCs w:val="20"/>
        </w:rPr>
      </w:pPr>
      <w:r w:rsidRPr="00933433">
        <w:rPr>
          <w:rFonts w:ascii="Arial" w:hAnsi="Arial" w:cs="Arial"/>
          <w:sz w:val="20"/>
          <w:szCs w:val="20"/>
        </w:rPr>
        <w:t>The Purchaser is requested to pay the balance of the purchase price, costs and disbursements;</w:t>
      </w:r>
    </w:p>
    <w:p w:rsidR="005E6BA3" w:rsidRPr="00933433" w:rsidRDefault="005E6BA3" w:rsidP="005E6BA3">
      <w:pPr>
        <w:numPr>
          <w:ilvl w:val="0"/>
          <w:numId w:val="10"/>
        </w:numPr>
        <w:tabs>
          <w:tab w:val="left" w:pos="540"/>
        </w:tabs>
        <w:jc w:val="both"/>
        <w:rPr>
          <w:rFonts w:ascii="Arial" w:hAnsi="Arial" w:cs="Arial"/>
          <w:sz w:val="20"/>
          <w:szCs w:val="20"/>
        </w:rPr>
      </w:pPr>
      <w:r w:rsidRPr="00933433">
        <w:rPr>
          <w:rFonts w:ascii="Arial" w:hAnsi="Arial" w:cs="Arial"/>
          <w:sz w:val="20"/>
          <w:szCs w:val="20"/>
        </w:rPr>
        <w:t>Guarantees are requested from the Bond Attorneys.</w:t>
      </w:r>
    </w:p>
    <w:p w:rsidR="005E6BA3" w:rsidRDefault="005E6BA3" w:rsidP="005E6BA3">
      <w:pPr>
        <w:tabs>
          <w:tab w:val="left" w:pos="540"/>
        </w:tabs>
        <w:ind w:left="180"/>
        <w:jc w:val="both"/>
        <w:rPr>
          <w:rFonts w:ascii="Arial" w:hAnsi="Arial" w:cs="Arial"/>
          <w:sz w:val="20"/>
          <w:szCs w:val="20"/>
        </w:rPr>
      </w:pPr>
    </w:p>
    <w:p w:rsidR="005E6BA3" w:rsidRDefault="005E6BA3" w:rsidP="005E6BA3">
      <w:pPr>
        <w:tabs>
          <w:tab w:val="left" w:pos="540"/>
        </w:tabs>
        <w:ind w:left="180"/>
        <w:jc w:val="both"/>
        <w:rPr>
          <w:rFonts w:ascii="Arial" w:hAnsi="Arial" w:cs="Arial"/>
          <w:sz w:val="20"/>
          <w:szCs w:val="20"/>
        </w:rPr>
      </w:pPr>
    </w:p>
    <w:p w:rsidR="005E6BA3" w:rsidRPr="00933433" w:rsidRDefault="005E6BA3" w:rsidP="005E6BA3">
      <w:pPr>
        <w:tabs>
          <w:tab w:val="left" w:pos="540"/>
        </w:tabs>
        <w:ind w:left="180"/>
        <w:jc w:val="both"/>
        <w:rPr>
          <w:rFonts w:ascii="Arial" w:hAnsi="Arial" w:cs="Arial"/>
          <w:sz w:val="20"/>
          <w:szCs w:val="20"/>
        </w:rPr>
      </w:pPr>
    </w:p>
    <w:p w:rsidR="005E6BA3" w:rsidRPr="00933433" w:rsidRDefault="005E6BA3" w:rsidP="005E6BA3">
      <w:pPr>
        <w:numPr>
          <w:ilvl w:val="1"/>
          <w:numId w:val="2"/>
        </w:numPr>
        <w:tabs>
          <w:tab w:val="left" w:pos="540"/>
        </w:tabs>
        <w:ind w:hanging="900"/>
        <w:jc w:val="both"/>
        <w:rPr>
          <w:rFonts w:ascii="Arial" w:hAnsi="Arial" w:cs="Arial"/>
          <w:sz w:val="20"/>
          <w:szCs w:val="20"/>
        </w:rPr>
      </w:pPr>
      <w:r w:rsidRPr="00933433">
        <w:rPr>
          <w:rFonts w:ascii="Arial" w:hAnsi="Arial" w:cs="Arial"/>
          <w:sz w:val="20"/>
          <w:szCs w:val="20"/>
          <w:u w:val="single"/>
        </w:rPr>
        <w:t>After signature of documents by both Seller and Purchaser and payment of disbursements by Purchaser</w:t>
      </w:r>
      <w:r w:rsidRPr="00933433">
        <w:rPr>
          <w:rFonts w:ascii="Arial" w:hAnsi="Arial" w:cs="Arial"/>
          <w:sz w:val="20"/>
          <w:szCs w:val="20"/>
        </w:rPr>
        <w:t>:-</w:t>
      </w:r>
    </w:p>
    <w:p w:rsidR="005E6BA3" w:rsidRPr="00933433" w:rsidRDefault="005E6BA3" w:rsidP="005E6BA3">
      <w:pPr>
        <w:numPr>
          <w:ilvl w:val="0"/>
          <w:numId w:val="11"/>
        </w:numPr>
        <w:tabs>
          <w:tab w:val="left" w:pos="540"/>
        </w:tabs>
        <w:jc w:val="both"/>
        <w:rPr>
          <w:rFonts w:ascii="Arial" w:hAnsi="Arial" w:cs="Arial"/>
          <w:sz w:val="20"/>
          <w:szCs w:val="20"/>
        </w:rPr>
      </w:pPr>
      <w:r w:rsidRPr="00933433">
        <w:rPr>
          <w:rFonts w:ascii="Arial" w:hAnsi="Arial" w:cs="Arial"/>
          <w:sz w:val="20"/>
          <w:szCs w:val="20"/>
        </w:rPr>
        <w:t>Obtain transfer duty receipt;</w:t>
      </w:r>
    </w:p>
    <w:p w:rsidR="005E6BA3" w:rsidRPr="00933433" w:rsidRDefault="005E6BA3" w:rsidP="005E6BA3">
      <w:pPr>
        <w:numPr>
          <w:ilvl w:val="0"/>
          <w:numId w:val="11"/>
        </w:numPr>
        <w:tabs>
          <w:tab w:val="left" w:pos="540"/>
        </w:tabs>
        <w:jc w:val="both"/>
        <w:rPr>
          <w:rFonts w:ascii="Arial" w:hAnsi="Arial" w:cs="Arial"/>
          <w:sz w:val="20"/>
          <w:szCs w:val="20"/>
        </w:rPr>
      </w:pPr>
      <w:r w:rsidRPr="00933433">
        <w:rPr>
          <w:rFonts w:ascii="Arial" w:hAnsi="Arial" w:cs="Arial"/>
          <w:sz w:val="20"/>
          <w:szCs w:val="20"/>
        </w:rPr>
        <w:t>Obtain rates clearance certificate.</w:t>
      </w:r>
    </w:p>
    <w:p w:rsidR="005E6BA3" w:rsidRPr="00933433" w:rsidRDefault="005E6BA3" w:rsidP="005E6BA3">
      <w:pPr>
        <w:tabs>
          <w:tab w:val="left" w:pos="540"/>
        </w:tabs>
        <w:ind w:left="540"/>
        <w:jc w:val="both"/>
        <w:rPr>
          <w:rFonts w:ascii="Arial" w:hAnsi="Arial" w:cs="Arial"/>
          <w:sz w:val="20"/>
          <w:szCs w:val="20"/>
        </w:rPr>
      </w:pPr>
    </w:p>
    <w:p w:rsidR="005E6BA3" w:rsidRPr="00933433" w:rsidRDefault="005E6BA3" w:rsidP="005E6BA3">
      <w:pPr>
        <w:numPr>
          <w:ilvl w:val="1"/>
          <w:numId w:val="2"/>
        </w:numPr>
        <w:tabs>
          <w:tab w:val="left" w:pos="540"/>
        </w:tabs>
        <w:ind w:hanging="900"/>
        <w:jc w:val="both"/>
        <w:rPr>
          <w:rFonts w:ascii="Arial" w:hAnsi="Arial" w:cs="Arial"/>
          <w:sz w:val="20"/>
          <w:szCs w:val="20"/>
        </w:rPr>
      </w:pPr>
      <w:r w:rsidRPr="00933433">
        <w:rPr>
          <w:rFonts w:ascii="Arial" w:hAnsi="Arial" w:cs="Arial"/>
          <w:sz w:val="20"/>
          <w:szCs w:val="20"/>
          <w:u w:val="single"/>
        </w:rPr>
        <w:t>After receipt of guarantees</w:t>
      </w:r>
      <w:r w:rsidRPr="00933433">
        <w:rPr>
          <w:rFonts w:ascii="Arial" w:hAnsi="Arial" w:cs="Arial"/>
          <w:sz w:val="20"/>
          <w:szCs w:val="20"/>
        </w:rPr>
        <w:t>:-</w:t>
      </w:r>
    </w:p>
    <w:p w:rsidR="005E6BA3" w:rsidRPr="00933433" w:rsidRDefault="005E6BA3" w:rsidP="005E6BA3">
      <w:pPr>
        <w:numPr>
          <w:ilvl w:val="0"/>
          <w:numId w:val="12"/>
        </w:numPr>
        <w:tabs>
          <w:tab w:val="left" w:pos="540"/>
        </w:tabs>
        <w:jc w:val="both"/>
        <w:rPr>
          <w:rFonts w:ascii="Arial" w:hAnsi="Arial" w:cs="Arial"/>
          <w:sz w:val="20"/>
          <w:szCs w:val="20"/>
        </w:rPr>
      </w:pPr>
      <w:r w:rsidRPr="00933433">
        <w:rPr>
          <w:rFonts w:ascii="Arial" w:hAnsi="Arial" w:cs="Arial"/>
          <w:sz w:val="20"/>
          <w:szCs w:val="20"/>
        </w:rPr>
        <w:t>Forward guarantees plus payment of bond cancellation costs to the existing bondholder’s attorneys.</w:t>
      </w:r>
    </w:p>
    <w:p w:rsidR="005E6BA3" w:rsidRPr="00933433" w:rsidRDefault="005E6BA3" w:rsidP="005E6BA3">
      <w:pPr>
        <w:tabs>
          <w:tab w:val="left" w:pos="540"/>
        </w:tabs>
        <w:ind w:left="180"/>
        <w:jc w:val="both"/>
        <w:rPr>
          <w:rFonts w:ascii="Arial" w:hAnsi="Arial" w:cs="Arial"/>
          <w:sz w:val="20"/>
          <w:szCs w:val="20"/>
        </w:rPr>
      </w:pPr>
    </w:p>
    <w:p w:rsidR="005E6BA3" w:rsidRPr="00933433" w:rsidRDefault="005E6BA3" w:rsidP="005E6BA3">
      <w:pPr>
        <w:numPr>
          <w:ilvl w:val="1"/>
          <w:numId w:val="2"/>
        </w:numPr>
        <w:tabs>
          <w:tab w:val="left" w:pos="540"/>
          <w:tab w:val="num" w:pos="2880"/>
        </w:tabs>
        <w:ind w:hanging="900"/>
        <w:jc w:val="both"/>
        <w:rPr>
          <w:rFonts w:ascii="Arial" w:hAnsi="Arial" w:cs="Arial"/>
          <w:sz w:val="20"/>
          <w:szCs w:val="20"/>
        </w:rPr>
      </w:pPr>
      <w:r w:rsidRPr="00933433">
        <w:rPr>
          <w:rFonts w:ascii="Arial" w:hAnsi="Arial" w:cs="Arial"/>
          <w:sz w:val="20"/>
          <w:szCs w:val="20"/>
          <w:u w:val="single"/>
        </w:rPr>
        <w:t>After receipt of clearance certificate and transfer duty receipt</w:t>
      </w:r>
      <w:r w:rsidRPr="00933433">
        <w:rPr>
          <w:rFonts w:ascii="Arial" w:hAnsi="Arial" w:cs="Arial"/>
          <w:sz w:val="20"/>
          <w:szCs w:val="20"/>
        </w:rPr>
        <w:t>:-</w:t>
      </w:r>
    </w:p>
    <w:p w:rsidR="005E6BA3" w:rsidRPr="00933433" w:rsidRDefault="005E6BA3" w:rsidP="005E6BA3">
      <w:pPr>
        <w:numPr>
          <w:ilvl w:val="0"/>
          <w:numId w:val="12"/>
        </w:numPr>
        <w:tabs>
          <w:tab w:val="left" w:pos="540"/>
          <w:tab w:val="num" w:pos="2880"/>
        </w:tabs>
        <w:jc w:val="both"/>
        <w:rPr>
          <w:rFonts w:ascii="Arial" w:hAnsi="Arial" w:cs="Arial"/>
          <w:sz w:val="20"/>
          <w:szCs w:val="20"/>
        </w:rPr>
      </w:pPr>
      <w:r w:rsidRPr="00933433">
        <w:rPr>
          <w:rFonts w:ascii="Arial" w:hAnsi="Arial" w:cs="Arial"/>
          <w:sz w:val="20"/>
          <w:szCs w:val="20"/>
        </w:rPr>
        <w:t>Liaise with the relevant parties to arrange lodgement.</w:t>
      </w:r>
    </w:p>
    <w:p w:rsidR="005E6BA3" w:rsidRPr="00933433" w:rsidRDefault="005E6BA3" w:rsidP="005E6BA3">
      <w:pPr>
        <w:tabs>
          <w:tab w:val="left" w:pos="540"/>
          <w:tab w:val="num" w:pos="2880"/>
        </w:tabs>
        <w:ind w:left="540"/>
        <w:jc w:val="both"/>
        <w:rPr>
          <w:rFonts w:ascii="Arial" w:hAnsi="Arial" w:cs="Arial"/>
          <w:sz w:val="20"/>
          <w:szCs w:val="20"/>
        </w:rPr>
      </w:pPr>
    </w:p>
    <w:p w:rsidR="005E6BA3" w:rsidRPr="00933433" w:rsidRDefault="005E6BA3" w:rsidP="005E6BA3">
      <w:pPr>
        <w:numPr>
          <w:ilvl w:val="1"/>
          <w:numId w:val="2"/>
        </w:numPr>
        <w:tabs>
          <w:tab w:val="left" w:pos="540"/>
          <w:tab w:val="num" w:pos="2880"/>
        </w:tabs>
        <w:ind w:hanging="900"/>
        <w:jc w:val="both"/>
        <w:rPr>
          <w:rFonts w:ascii="Arial" w:hAnsi="Arial" w:cs="Arial"/>
          <w:sz w:val="20"/>
          <w:szCs w:val="20"/>
        </w:rPr>
      </w:pPr>
      <w:r w:rsidRPr="00933433">
        <w:rPr>
          <w:rFonts w:ascii="Arial" w:hAnsi="Arial" w:cs="Arial"/>
          <w:sz w:val="20"/>
          <w:szCs w:val="20"/>
          <w:u w:val="single"/>
        </w:rPr>
        <w:t>Transfer is effected in the Deeds Office</w:t>
      </w:r>
      <w:r w:rsidRPr="00933433">
        <w:rPr>
          <w:rFonts w:ascii="Arial" w:hAnsi="Arial" w:cs="Arial"/>
          <w:sz w:val="20"/>
          <w:szCs w:val="20"/>
        </w:rPr>
        <w:t>.</w:t>
      </w:r>
    </w:p>
    <w:p w:rsidR="005E6BA3" w:rsidRPr="00933433" w:rsidRDefault="005E6BA3" w:rsidP="005E6BA3">
      <w:pPr>
        <w:tabs>
          <w:tab w:val="left" w:pos="540"/>
          <w:tab w:val="num" w:pos="2880"/>
        </w:tabs>
        <w:ind w:left="180"/>
        <w:jc w:val="both"/>
        <w:rPr>
          <w:rFonts w:ascii="Arial" w:hAnsi="Arial" w:cs="Arial"/>
          <w:sz w:val="20"/>
          <w:szCs w:val="20"/>
        </w:rPr>
      </w:pPr>
    </w:p>
    <w:p w:rsidR="005E6BA3" w:rsidRPr="00933433" w:rsidRDefault="005E6BA3" w:rsidP="005E6BA3">
      <w:pPr>
        <w:numPr>
          <w:ilvl w:val="1"/>
          <w:numId w:val="2"/>
        </w:numPr>
        <w:tabs>
          <w:tab w:val="left" w:pos="540"/>
          <w:tab w:val="num" w:pos="2880"/>
          <w:tab w:val="num" w:pos="4320"/>
        </w:tabs>
        <w:ind w:hanging="900"/>
        <w:jc w:val="both"/>
        <w:rPr>
          <w:rFonts w:ascii="Arial" w:hAnsi="Arial" w:cs="Arial"/>
          <w:sz w:val="20"/>
          <w:szCs w:val="20"/>
        </w:rPr>
      </w:pPr>
      <w:r w:rsidRPr="00933433">
        <w:rPr>
          <w:rFonts w:ascii="Arial" w:hAnsi="Arial" w:cs="Arial"/>
          <w:sz w:val="20"/>
          <w:szCs w:val="20"/>
          <w:u w:val="single"/>
        </w:rPr>
        <w:t>After Registration</w:t>
      </w:r>
      <w:r w:rsidRPr="00933433">
        <w:rPr>
          <w:rFonts w:ascii="Arial" w:hAnsi="Arial" w:cs="Arial"/>
          <w:sz w:val="20"/>
          <w:szCs w:val="20"/>
        </w:rPr>
        <w:t>:-</w:t>
      </w:r>
    </w:p>
    <w:p w:rsidR="005E6BA3" w:rsidRPr="00933433" w:rsidRDefault="005E6BA3" w:rsidP="005E6BA3">
      <w:pPr>
        <w:numPr>
          <w:ilvl w:val="0"/>
          <w:numId w:val="12"/>
        </w:numPr>
        <w:tabs>
          <w:tab w:val="left" w:pos="540"/>
          <w:tab w:val="num" w:pos="4320"/>
        </w:tabs>
        <w:jc w:val="both"/>
        <w:rPr>
          <w:rFonts w:ascii="Arial" w:hAnsi="Arial" w:cs="Arial"/>
          <w:sz w:val="20"/>
          <w:szCs w:val="20"/>
        </w:rPr>
      </w:pPr>
      <w:r w:rsidRPr="00933433">
        <w:rPr>
          <w:rFonts w:ascii="Arial" w:hAnsi="Arial" w:cs="Arial"/>
          <w:sz w:val="20"/>
          <w:szCs w:val="20"/>
        </w:rPr>
        <w:t>Advise all parties of registration;</w:t>
      </w:r>
    </w:p>
    <w:p w:rsidR="005E6BA3" w:rsidRPr="00933433" w:rsidRDefault="005E6BA3" w:rsidP="005E6BA3">
      <w:pPr>
        <w:numPr>
          <w:ilvl w:val="0"/>
          <w:numId w:val="12"/>
        </w:numPr>
        <w:tabs>
          <w:tab w:val="left" w:pos="540"/>
          <w:tab w:val="num" w:pos="4320"/>
          <w:tab w:val="num" w:pos="5040"/>
        </w:tabs>
        <w:jc w:val="both"/>
        <w:rPr>
          <w:rFonts w:ascii="Arial" w:hAnsi="Arial" w:cs="Arial"/>
          <w:sz w:val="20"/>
          <w:szCs w:val="20"/>
        </w:rPr>
      </w:pPr>
      <w:r w:rsidRPr="00933433">
        <w:rPr>
          <w:rFonts w:ascii="Arial" w:hAnsi="Arial" w:cs="Arial"/>
          <w:sz w:val="20"/>
          <w:szCs w:val="20"/>
        </w:rPr>
        <w:t>Present guarantees for payment;</w:t>
      </w:r>
    </w:p>
    <w:p w:rsidR="005E6BA3" w:rsidRPr="00933433" w:rsidRDefault="005E6BA3" w:rsidP="005E6BA3">
      <w:pPr>
        <w:numPr>
          <w:ilvl w:val="0"/>
          <w:numId w:val="12"/>
        </w:numPr>
        <w:tabs>
          <w:tab w:val="left" w:pos="540"/>
          <w:tab w:val="num" w:pos="4320"/>
          <w:tab w:val="num" w:pos="5040"/>
        </w:tabs>
        <w:jc w:val="both"/>
        <w:rPr>
          <w:rFonts w:ascii="Arial" w:hAnsi="Arial" w:cs="Arial"/>
          <w:sz w:val="20"/>
          <w:szCs w:val="20"/>
        </w:rPr>
      </w:pPr>
      <w:r w:rsidRPr="00933433">
        <w:rPr>
          <w:rFonts w:ascii="Arial" w:hAnsi="Arial" w:cs="Arial"/>
          <w:sz w:val="20"/>
          <w:szCs w:val="20"/>
        </w:rPr>
        <w:t>Obtain payment of balance of deposit (if applicable)</w:t>
      </w:r>
    </w:p>
    <w:p w:rsidR="005E6BA3" w:rsidRPr="00933433" w:rsidRDefault="005E6BA3" w:rsidP="005E6BA3">
      <w:pPr>
        <w:numPr>
          <w:ilvl w:val="0"/>
          <w:numId w:val="12"/>
        </w:numPr>
        <w:tabs>
          <w:tab w:val="left" w:pos="540"/>
          <w:tab w:val="num" w:pos="4320"/>
          <w:tab w:val="num" w:pos="5040"/>
        </w:tabs>
        <w:jc w:val="both"/>
        <w:rPr>
          <w:rFonts w:ascii="Arial" w:hAnsi="Arial" w:cs="Arial"/>
          <w:sz w:val="20"/>
          <w:szCs w:val="20"/>
        </w:rPr>
      </w:pPr>
      <w:r w:rsidRPr="00933433">
        <w:rPr>
          <w:rFonts w:ascii="Arial" w:hAnsi="Arial" w:cs="Arial"/>
          <w:sz w:val="20"/>
          <w:szCs w:val="20"/>
        </w:rPr>
        <w:t>Do final account;</w:t>
      </w:r>
    </w:p>
    <w:p w:rsidR="005E6BA3" w:rsidRPr="00933433" w:rsidRDefault="005E6BA3" w:rsidP="005E6BA3">
      <w:pPr>
        <w:numPr>
          <w:ilvl w:val="0"/>
          <w:numId w:val="12"/>
        </w:numPr>
        <w:tabs>
          <w:tab w:val="left" w:pos="540"/>
          <w:tab w:val="num" w:pos="4320"/>
          <w:tab w:val="num" w:pos="5040"/>
        </w:tabs>
        <w:jc w:val="both"/>
        <w:rPr>
          <w:rFonts w:ascii="Arial" w:hAnsi="Arial" w:cs="Arial"/>
          <w:sz w:val="20"/>
          <w:szCs w:val="20"/>
        </w:rPr>
      </w:pPr>
      <w:r w:rsidRPr="00933433">
        <w:rPr>
          <w:rFonts w:ascii="Arial" w:hAnsi="Arial" w:cs="Arial"/>
          <w:sz w:val="20"/>
          <w:szCs w:val="20"/>
        </w:rPr>
        <w:t>Request refund of overpayment (if any) from local authority and bond holder.</w:t>
      </w:r>
    </w:p>
    <w:p w:rsidR="005E6BA3" w:rsidRPr="00933433" w:rsidRDefault="005E6BA3" w:rsidP="005E6BA3">
      <w:pPr>
        <w:tabs>
          <w:tab w:val="left" w:pos="540"/>
          <w:tab w:val="num" w:pos="2880"/>
        </w:tabs>
        <w:jc w:val="both"/>
        <w:rPr>
          <w:rFonts w:ascii="Arial" w:hAnsi="Arial" w:cs="Arial"/>
          <w:sz w:val="20"/>
          <w:szCs w:val="20"/>
        </w:rPr>
      </w:pPr>
    </w:p>
    <w:p w:rsidR="005E6BA3" w:rsidRPr="00933433" w:rsidRDefault="005E6BA3" w:rsidP="005E6BA3">
      <w:pPr>
        <w:numPr>
          <w:ilvl w:val="1"/>
          <w:numId w:val="2"/>
        </w:numPr>
        <w:tabs>
          <w:tab w:val="left" w:pos="540"/>
          <w:tab w:val="num" w:pos="2880"/>
          <w:tab w:val="num" w:pos="5040"/>
        </w:tabs>
        <w:ind w:hanging="900"/>
        <w:jc w:val="both"/>
        <w:rPr>
          <w:rFonts w:ascii="Arial" w:hAnsi="Arial" w:cs="Arial"/>
          <w:sz w:val="20"/>
          <w:szCs w:val="20"/>
        </w:rPr>
      </w:pPr>
      <w:r w:rsidRPr="00933433">
        <w:rPr>
          <w:rFonts w:ascii="Arial" w:hAnsi="Arial" w:cs="Arial"/>
          <w:sz w:val="20"/>
          <w:szCs w:val="20"/>
          <w:u w:val="single"/>
        </w:rPr>
        <w:t>Upon receipt of payment i.t.o. guarantee presented</w:t>
      </w:r>
      <w:r w:rsidRPr="00933433">
        <w:rPr>
          <w:rFonts w:ascii="Arial" w:hAnsi="Arial" w:cs="Arial"/>
          <w:sz w:val="20"/>
          <w:szCs w:val="20"/>
        </w:rPr>
        <w:t>:-</w:t>
      </w:r>
    </w:p>
    <w:p w:rsidR="005E6BA3" w:rsidRPr="00933433" w:rsidRDefault="005E6BA3" w:rsidP="005E6BA3">
      <w:pPr>
        <w:numPr>
          <w:ilvl w:val="3"/>
          <w:numId w:val="13"/>
        </w:numPr>
        <w:tabs>
          <w:tab w:val="left" w:pos="900"/>
          <w:tab w:val="left" w:pos="1800"/>
        </w:tabs>
        <w:ind w:hanging="1980"/>
        <w:jc w:val="both"/>
        <w:rPr>
          <w:rFonts w:ascii="Arial" w:hAnsi="Arial" w:cs="Arial"/>
          <w:sz w:val="20"/>
          <w:szCs w:val="20"/>
        </w:rPr>
      </w:pPr>
      <w:r w:rsidRPr="00933433">
        <w:rPr>
          <w:rFonts w:ascii="Arial" w:hAnsi="Arial" w:cs="Arial"/>
          <w:sz w:val="20"/>
          <w:szCs w:val="20"/>
        </w:rPr>
        <w:t>Finalize the accounts of the Seller and Purchaser;</w:t>
      </w:r>
    </w:p>
    <w:p w:rsidR="005E6BA3" w:rsidRPr="00933433" w:rsidRDefault="005E6BA3" w:rsidP="005E6BA3">
      <w:pPr>
        <w:numPr>
          <w:ilvl w:val="3"/>
          <w:numId w:val="13"/>
        </w:numPr>
        <w:tabs>
          <w:tab w:val="left" w:pos="900"/>
          <w:tab w:val="left" w:pos="1800"/>
        </w:tabs>
        <w:ind w:hanging="1980"/>
        <w:jc w:val="both"/>
        <w:rPr>
          <w:rFonts w:ascii="Arial" w:hAnsi="Arial" w:cs="Arial"/>
          <w:sz w:val="20"/>
          <w:szCs w:val="20"/>
        </w:rPr>
      </w:pPr>
      <w:r w:rsidRPr="00933433">
        <w:rPr>
          <w:rFonts w:ascii="Arial" w:hAnsi="Arial" w:cs="Arial"/>
          <w:sz w:val="20"/>
          <w:szCs w:val="20"/>
        </w:rPr>
        <w:t>Arrange for parties to collect payment;</w:t>
      </w:r>
    </w:p>
    <w:p w:rsidR="005E6BA3" w:rsidRPr="00933433" w:rsidRDefault="005E6BA3" w:rsidP="005E6BA3">
      <w:pPr>
        <w:numPr>
          <w:ilvl w:val="3"/>
          <w:numId w:val="13"/>
        </w:numPr>
        <w:tabs>
          <w:tab w:val="left" w:pos="900"/>
          <w:tab w:val="left" w:pos="1800"/>
        </w:tabs>
        <w:ind w:hanging="1980"/>
        <w:jc w:val="both"/>
        <w:rPr>
          <w:rFonts w:ascii="Arial" w:hAnsi="Arial" w:cs="Arial"/>
          <w:sz w:val="20"/>
          <w:szCs w:val="20"/>
        </w:rPr>
      </w:pPr>
      <w:r w:rsidRPr="00933433">
        <w:rPr>
          <w:rFonts w:ascii="Arial" w:hAnsi="Arial" w:cs="Arial"/>
          <w:sz w:val="20"/>
          <w:szCs w:val="20"/>
        </w:rPr>
        <w:t>Request refund of overpayment of rates, etc.</w:t>
      </w:r>
    </w:p>
    <w:p w:rsidR="005E6BA3" w:rsidRPr="00933433" w:rsidRDefault="005E6BA3" w:rsidP="005E6BA3">
      <w:pPr>
        <w:tabs>
          <w:tab w:val="left" w:pos="540"/>
          <w:tab w:val="num" w:pos="2880"/>
          <w:tab w:val="num" w:pos="5040"/>
        </w:tabs>
        <w:jc w:val="both"/>
        <w:rPr>
          <w:rFonts w:ascii="Arial" w:hAnsi="Arial" w:cs="Arial"/>
          <w:sz w:val="20"/>
          <w:szCs w:val="20"/>
        </w:rPr>
      </w:pPr>
    </w:p>
    <w:p w:rsidR="005E6BA3" w:rsidRPr="00933433" w:rsidRDefault="005E6BA3" w:rsidP="005E6BA3">
      <w:pPr>
        <w:numPr>
          <w:ilvl w:val="1"/>
          <w:numId w:val="2"/>
        </w:numPr>
        <w:tabs>
          <w:tab w:val="clear" w:pos="1080"/>
          <w:tab w:val="left" w:pos="540"/>
          <w:tab w:val="num" w:pos="720"/>
          <w:tab w:val="num" w:pos="2880"/>
          <w:tab w:val="num" w:pos="5040"/>
        </w:tabs>
        <w:ind w:hanging="900"/>
        <w:jc w:val="both"/>
        <w:rPr>
          <w:rFonts w:ascii="Arial" w:hAnsi="Arial" w:cs="Arial"/>
          <w:sz w:val="20"/>
          <w:szCs w:val="20"/>
        </w:rPr>
      </w:pPr>
      <w:r w:rsidRPr="00933433">
        <w:rPr>
          <w:rFonts w:ascii="Arial" w:hAnsi="Arial" w:cs="Arial"/>
          <w:sz w:val="20"/>
          <w:szCs w:val="20"/>
          <w:u w:val="single"/>
        </w:rPr>
        <w:t>Upon receipt of documents from Deeds Office</w:t>
      </w:r>
      <w:r w:rsidRPr="00933433">
        <w:rPr>
          <w:rFonts w:ascii="Arial" w:hAnsi="Arial" w:cs="Arial"/>
          <w:sz w:val="20"/>
          <w:szCs w:val="20"/>
        </w:rPr>
        <w:t>:-</w:t>
      </w:r>
    </w:p>
    <w:p w:rsidR="005E6BA3" w:rsidRPr="00933433" w:rsidRDefault="005E6BA3" w:rsidP="005E6BA3">
      <w:pPr>
        <w:numPr>
          <w:ilvl w:val="0"/>
          <w:numId w:val="7"/>
        </w:numPr>
        <w:tabs>
          <w:tab w:val="clear" w:pos="2520"/>
          <w:tab w:val="num" w:pos="900"/>
        </w:tabs>
        <w:ind w:left="900"/>
        <w:jc w:val="both"/>
        <w:rPr>
          <w:rFonts w:ascii="Arial" w:hAnsi="Arial" w:cs="Arial"/>
          <w:sz w:val="20"/>
          <w:szCs w:val="20"/>
        </w:rPr>
      </w:pPr>
      <w:r w:rsidRPr="00933433">
        <w:rPr>
          <w:rFonts w:ascii="Arial" w:hAnsi="Arial" w:cs="Arial"/>
          <w:sz w:val="20"/>
          <w:szCs w:val="20"/>
        </w:rPr>
        <w:t>Forward Title Deeds to bondholders for safekeeping, or if no bond, arrange with Purchaser to collect documents.</w:t>
      </w:r>
    </w:p>
    <w:p w:rsidR="005E6BA3" w:rsidRPr="00933433" w:rsidRDefault="005E6BA3" w:rsidP="005E6BA3">
      <w:pPr>
        <w:tabs>
          <w:tab w:val="left" w:pos="1440"/>
        </w:tabs>
        <w:ind w:left="1800"/>
        <w:jc w:val="both"/>
        <w:rPr>
          <w:rFonts w:ascii="Arial" w:hAnsi="Arial" w:cs="Arial"/>
          <w:sz w:val="20"/>
          <w:szCs w:val="20"/>
        </w:rPr>
      </w:pPr>
    </w:p>
    <w:p w:rsidR="005E6BA3" w:rsidRPr="00933433" w:rsidRDefault="005E6BA3" w:rsidP="005E6BA3">
      <w:pPr>
        <w:pStyle w:val="Heading2"/>
        <w:framePr w:w="0" w:hRule="auto" w:hSpace="0" w:wrap="auto" w:vAnchor="margin" w:hAnchor="text" w:xAlign="left" w:yAlign="inline"/>
        <w:widowControl/>
        <w:numPr>
          <w:ilvl w:val="0"/>
          <w:numId w:val="2"/>
        </w:numPr>
        <w:tabs>
          <w:tab w:val="clear" w:pos="360"/>
          <w:tab w:val="num" w:pos="540"/>
          <w:tab w:val="left" w:pos="720"/>
        </w:tabs>
        <w:ind w:hanging="180"/>
        <w:jc w:val="both"/>
        <w:rPr>
          <w:rFonts w:ascii="Arial" w:hAnsi="Arial" w:cs="Arial"/>
          <w:sz w:val="20"/>
        </w:rPr>
      </w:pPr>
      <w:r w:rsidRPr="00933433">
        <w:rPr>
          <w:rFonts w:ascii="Arial" w:hAnsi="Arial" w:cs="Arial"/>
          <w:b/>
          <w:sz w:val="20"/>
        </w:rPr>
        <w:t>COSTS INVOLVED:-</w:t>
      </w:r>
    </w:p>
    <w:p w:rsidR="005E6BA3" w:rsidRPr="00933433" w:rsidRDefault="005E6BA3" w:rsidP="005E6BA3">
      <w:pPr>
        <w:tabs>
          <w:tab w:val="left" w:pos="1080"/>
        </w:tabs>
        <w:ind w:left="360" w:firstLine="180"/>
        <w:jc w:val="both"/>
        <w:rPr>
          <w:rFonts w:ascii="Arial" w:hAnsi="Arial" w:cs="Arial"/>
          <w:sz w:val="20"/>
          <w:szCs w:val="20"/>
        </w:rPr>
      </w:pPr>
      <w:r w:rsidRPr="00933433">
        <w:rPr>
          <w:rFonts w:ascii="Arial" w:hAnsi="Arial" w:cs="Arial"/>
          <w:sz w:val="20"/>
          <w:szCs w:val="20"/>
        </w:rPr>
        <w:t>The costs relating to the transfer of fixed property fall into the following categories:-</w:t>
      </w:r>
    </w:p>
    <w:p w:rsidR="005E6BA3" w:rsidRPr="00933433" w:rsidRDefault="005E6BA3" w:rsidP="005E6BA3">
      <w:pPr>
        <w:numPr>
          <w:ilvl w:val="0"/>
          <w:numId w:val="8"/>
        </w:numPr>
        <w:tabs>
          <w:tab w:val="clear" w:pos="360"/>
          <w:tab w:val="left" w:pos="900"/>
        </w:tabs>
        <w:ind w:firstLine="180"/>
        <w:jc w:val="both"/>
        <w:rPr>
          <w:rFonts w:ascii="Arial" w:hAnsi="Arial" w:cs="Arial"/>
          <w:sz w:val="20"/>
          <w:szCs w:val="20"/>
        </w:rPr>
      </w:pPr>
      <w:r w:rsidRPr="00933433">
        <w:rPr>
          <w:rFonts w:ascii="Arial" w:hAnsi="Arial" w:cs="Arial"/>
          <w:sz w:val="20"/>
          <w:szCs w:val="20"/>
        </w:rPr>
        <w:t>Transfer Fees;</w:t>
      </w:r>
    </w:p>
    <w:p w:rsidR="005E6BA3" w:rsidRPr="00933433" w:rsidRDefault="005E6BA3" w:rsidP="005E6BA3">
      <w:pPr>
        <w:numPr>
          <w:ilvl w:val="0"/>
          <w:numId w:val="8"/>
        </w:numPr>
        <w:tabs>
          <w:tab w:val="clear" w:pos="360"/>
          <w:tab w:val="left" w:pos="900"/>
        </w:tabs>
        <w:ind w:firstLine="180"/>
        <w:jc w:val="both"/>
        <w:rPr>
          <w:rFonts w:ascii="Arial" w:hAnsi="Arial" w:cs="Arial"/>
          <w:sz w:val="20"/>
          <w:szCs w:val="20"/>
        </w:rPr>
      </w:pPr>
      <w:r w:rsidRPr="00933433">
        <w:rPr>
          <w:rFonts w:ascii="Arial" w:hAnsi="Arial" w:cs="Arial"/>
          <w:sz w:val="20"/>
          <w:szCs w:val="20"/>
        </w:rPr>
        <w:t>Bond fees;</w:t>
      </w:r>
    </w:p>
    <w:p w:rsidR="005E6BA3" w:rsidRPr="00933433" w:rsidRDefault="005E6BA3" w:rsidP="005E6BA3">
      <w:pPr>
        <w:numPr>
          <w:ilvl w:val="0"/>
          <w:numId w:val="8"/>
        </w:numPr>
        <w:tabs>
          <w:tab w:val="clear" w:pos="360"/>
          <w:tab w:val="left" w:pos="900"/>
        </w:tabs>
        <w:ind w:firstLine="180"/>
        <w:jc w:val="both"/>
        <w:rPr>
          <w:rFonts w:ascii="Arial" w:hAnsi="Arial" w:cs="Arial"/>
          <w:sz w:val="20"/>
          <w:szCs w:val="20"/>
        </w:rPr>
      </w:pPr>
      <w:r w:rsidRPr="00933433">
        <w:rPr>
          <w:rFonts w:ascii="Arial" w:hAnsi="Arial" w:cs="Arial"/>
          <w:sz w:val="20"/>
          <w:szCs w:val="20"/>
        </w:rPr>
        <w:t>Transfer duty or VAT;</w:t>
      </w:r>
    </w:p>
    <w:p w:rsidR="005E6BA3" w:rsidRPr="00933433" w:rsidRDefault="005E6BA3" w:rsidP="005E6BA3">
      <w:pPr>
        <w:numPr>
          <w:ilvl w:val="0"/>
          <w:numId w:val="8"/>
        </w:numPr>
        <w:tabs>
          <w:tab w:val="clear" w:pos="360"/>
          <w:tab w:val="left" w:pos="900"/>
        </w:tabs>
        <w:ind w:firstLine="180"/>
        <w:jc w:val="both"/>
        <w:rPr>
          <w:rFonts w:ascii="Arial" w:hAnsi="Arial" w:cs="Arial"/>
          <w:sz w:val="20"/>
          <w:szCs w:val="20"/>
        </w:rPr>
      </w:pPr>
      <w:r w:rsidRPr="00933433">
        <w:rPr>
          <w:rFonts w:ascii="Arial" w:hAnsi="Arial" w:cs="Arial"/>
          <w:sz w:val="20"/>
          <w:szCs w:val="20"/>
        </w:rPr>
        <w:t>Rates and Levies;</w:t>
      </w:r>
    </w:p>
    <w:p w:rsidR="005E6BA3" w:rsidRPr="00933433" w:rsidRDefault="005E6BA3" w:rsidP="005E6BA3">
      <w:pPr>
        <w:numPr>
          <w:ilvl w:val="0"/>
          <w:numId w:val="8"/>
        </w:numPr>
        <w:tabs>
          <w:tab w:val="clear" w:pos="360"/>
          <w:tab w:val="left" w:pos="900"/>
        </w:tabs>
        <w:ind w:firstLine="180"/>
        <w:jc w:val="both"/>
        <w:rPr>
          <w:rFonts w:ascii="Arial" w:hAnsi="Arial" w:cs="Arial"/>
          <w:sz w:val="20"/>
          <w:szCs w:val="20"/>
        </w:rPr>
      </w:pPr>
      <w:r w:rsidRPr="00933433">
        <w:rPr>
          <w:rFonts w:ascii="Arial" w:hAnsi="Arial" w:cs="Arial"/>
          <w:sz w:val="20"/>
          <w:szCs w:val="20"/>
        </w:rPr>
        <w:t>Deeds Office levy;</w:t>
      </w:r>
    </w:p>
    <w:p w:rsidR="005E6BA3" w:rsidRPr="00933433" w:rsidRDefault="005E6BA3" w:rsidP="005E6BA3">
      <w:pPr>
        <w:numPr>
          <w:ilvl w:val="0"/>
          <w:numId w:val="8"/>
        </w:numPr>
        <w:tabs>
          <w:tab w:val="clear" w:pos="360"/>
          <w:tab w:val="left" w:pos="900"/>
        </w:tabs>
        <w:ind w:firstLine="180"/>
        <w:jc w:val="both"/>
        <w:rPr>
          <w:rFonts w:ascii="Arial" w:hAnsi="Arial" w:cs="Arial"/>
          <w:sz w:val="20"/>
          <w:szCs w:val="20"/>
        </w:rPr>
      </w:pPr>
      <w:r w:rsidRPr="00933433">
        <w:rPr>
          <w:rFonts w:ascii="Arial" w:hAnsi="Arial" w:cs="Arial"/>
          <w:sz w:val="20"/>
          <w:szCs w:val="20"/>
        </w:rPr>
        <w:t>Stamp duty on bond.</w:t>
      </w:r>
    </w:p>
    <w:p w:rsidR="005E6BA3" w:rsidRPr="00933433" w:rsidRDefault="005E6BA3" w:rsidP="005E6BA3">
      <w:pPr>
        <w:tabs>
          <w:tab w:val="num" w:pos="720"/>
          <w:tab w:val="left" w:pos="1080"/>
        </w:tabs>
        <w:ind w:hanging="360"/>
        <w:jc w:val="both"/>
        <w:rPr>
          <w:rFonts w:ascii="Arial" w:hAnsi="Arial" w:cs="Arial"/>
          <w:sz w:val="20"/>
          <w:szCs w:val="20"/>
        </w:rPr>
      </w:pPr>
    </w:p>
    <w:p w:rsidR="005E6BA3" w:rsidRPr="00933433" w:rsidRDefault="005E6BA3" w:rsidP="005E6BA3">
      <w:pPr>
        <w:pStyle w:val="Heading2"/>
        <w:framePr w:w="0" w:hRule="auto" w:hSpace="0" w:wrap="auto" w:vAnchor="margin" w:hAnchor="text" w:xAlign="left" w:yAlign="inline"/>
        <w:widowControl/>
        <w:numPr>
          <w:ilvl w:val="0"/>
          <w:numId w:val="2"/>
        </w:numPr>
        <w:tabs>
          <w:tab w:val="clear" w:pos="360"/>
          <w:tab w:val="num" w:pos="540"/>
          <w:tab w:val="left" w:pos="720"/>
        </w:tabs>
        <w:ind w:hanging="180"/>
        <w:jc w:val="both"/>
        <w:rPr>
          <w:rFonts w:ascii="Arial" w:hAnsi="Arial" w:cs="Arial"/>
          <w:b/>
          <w:sz w:val="20"/>
        </w:rPr>
      </w:pPr>
      <w:r w:rsidRPr="00933433">
        <w:rPr>
          <w:rFonts w:ascii="Arial" w:hAnsi="Arial" w:cs="Arial"/>
          <w:b/>
          <w:sz w:val="20"/>
        </w:rPr>
        <w:t>HOW LONG DOES THE PROCESS TAKE?</w:t>
      </w:r>
    </w:p>
    <w:p w:rsidR="005E6BA3" w:rsidRPr="00933433" w:rsidRDefault="005E6BA3" w:rsidP="005E6BA3">
      <w:pPr>
        <w:tabs>
          <w:tab w:val="left" w:pos="540"/>
        </w:tabs>
        <w:ind w:left="540"/>
        <w:jc w:val="both"/>
        <w:rPr>
          <w:rFonts w:ascii="Arial" w:hAnsi="Arial" w:cs="Arial"/>
          <w:sz w:val="20"/>
          <w:szCs w:val="20"/>
        </w:rPr>
      </w:pPr>
      <w:r w:rsidRPr="00933433">
        <w:rPr>
          <w:rFonts w:ascii="Arial" w:hAnsi="Arial" w:cs="Arial"/>
          <w:sz w:val="20"/>
          <w:szCs w:val="20"/>
        </w:rPr>
        <w:t xml:space="preserve">The period of time it takes to lodge a transaction in the Deeds Office depends on the co-operation of the parties and their contractual arrangements.  After the documents are completed and the rates and taxes an the transfer duty paid, the documents are lodged at the Deeds Office.   The usual time taken by the Deeds Office to examine the documents lodged by the different conveyancers for a specific transaction is 7 – 14 days.  </w:t>
      </w:r>
    </w:p>
    <w:p w:rsidR="005E6BA3" w:rsidRPr="00933433" w:rsidRDefault="005E6BA3" w:rsidP="005E6BA3">
      <w:pPr>
        <w:tabs>
          <w:tab w:val="left" w:pos="720"/>
        </w:tabs>
        <w:ind w:left="720" w:hanging="360"/>
        <w:jc w:val="both"/>
        <w:rPr>
          <w:rFonts w:ascii="Arial" w:hAnsi="Arial" w:cs="Arial"/>
          <w:sz w:val="20"/>
          <w:szCs w:val="20"/>
        </w:rPr>
      </w:pPr>
    </w:p>
    <w:p w:rsidR="005E6BA3" w:rsidRPr="00933433" w:rsidRDefault="005E6BA3" w:rsidP="005E6BA3">
      <w:pPr>
        <w:numPr>
          <w:ilvl w:val="0"/>
          <w:numId w:val="2"/>
        </w:numPr>
        <w:tabs>
          <w:tab w:val="clear" w:pos="360"/>
          <w:tab w:val="num" w:pos="540"/>
          <w:tab w:val="left" w:pos="720"/>
        </w:tabs>
        <w:ind w:hanging="180"/>
        <w:jc w:val="both"/>
        <w:rPr>
          <w:rFonts w:ascii="Arial" w:hAnsi="Arial" w:cs="Arial"/>
          <w:b/>
          <w:bCs/>
          <w:sz w:val="20"/>
          <w:szCs w:val="20"/>
        </w:rPr>
      </w:pPr>
      <w:r w:rsidRPr="00933433">
        <w:rPr>
          <w:rFonts w:ascii="Arial" w:hAnsi="Arial" w:cs="Arial"/>
          <w:b/>
          <w:bCs/>
          <w:sz w:val="20"/>
          <w:szCs w:val="20"/>
        </w:rPr>
        <w:t>NECESSITY OF A CONVEYANCER</w:t>
      </w:r>
    </w:p>
    <w:p w:rsidR="005E6BA3" w:rsidRPr="00933433" w:rsidRDefault="005E6BA3" w:rsidP="005E6BA3">
      <w:pPr>
        <w:tabs>
          <w:tab w:val="left" w:pos="540"/>
        </w:tabs>
        <w:ind w:left="540" w:hanging="180"/>
        <w:jc w:val="both"/>
        <w:rPr>
          <w:rFonts w:ascii="Arial" w:hAnsi="Arial" w:cs="Arial"/>
          <w:sz w:val="20"/>
          <w:szCs w:val="20"/>
        </w:rPr>
      </w:pPr>
      <w:r w:rsidRPr="00933433">
        <w:rPr>
          <w:rFonts w:ascii="Arial" w:hAnsi="Arial" w:cs="Arial"/>
          <w:sz w:val="20"/>
          <w:szCs w:val="20"/>
        </w:rPr>
        <w:lastRenderedPageBreak/>
        <w:tab/>
        <w:t>In terms of the present legislation, only qualified conveyancers may attend to the transfer of fixed properties and related transactions.  This protects the rights and interest of the public and also safeguards the integrity of the South African Land Registration System, which is universally regarded as one of the best in the world.  Only an attorney can qualify as a conveyancer.</w:t>
      </w:r>
    </w:p>
    <w:p w:rsidR="005E6BA3" w:rsidRPr="00933433" w:rsidRDefault="005E6BA3" w:rsidP="005E6BA3">
      <w:pPr>
        <w:tabs>
          <w:tab w:val="left" w:pos="1440"/>
        </w:tabs>
        <w:ind w:left="1440" w:hanging="1440"/>
        <w:jc w:val="center"/>
        <w:rPr>
          <w:rFonts w:ascii="Arial" w:hAnsi="Arial" w:cs="Arial"/>
          <w:b/>
          <w:sz w:val="20"/>
          <w:szCs w:val="20"/>
        </w:rPr>
      </w:pPr>
    </w:p>
    <w:p w:rsidR="005E6BA3" w:rsidRDefault="005E6BA3" w:rsidP="005E6BA3">
      <w:pPr>
        <w:rPr>
          <w:rFonts w:ascii="Arial" w:hAnsi="Arial" w:cs="Arial"/>
        </w:rPr>
      </w:pPr>
      <w:r>
        <w:rPr>
          <w:rFonts w:ascii="Arial" w:hAnsi="Arial" w:cs="Arial"/>
        </w:rPr>
        <w:br w:type="page"/>
      </w:r>
    </w:p>
    <w:p w:rsidR="000B109D" w:rsidRDefault="000B109D"/>
    <w:sectPr w:rsidR="000B109D" w:rsidSect="000B10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Light SSi">
    <w:altName w:val="Times New Roman"/>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C5823"/>
    <w:multiLevelType w:val="hybridMultilevel"/>
    <w:tmpl w:val="E122907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27EC4608"/>
    <w:multiLevelType w:val="hybridMultilevel"/>
    <w:tmpl w:val="E708A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C53FC1"/>
    <w:multiLevelType w:val="hybridMultilevel"/>
    <w:tmpl w:val="C9AEB0F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362A2FC2"/>
    <w:multiLevelType w:val="multilevel"/>
    <w:tmpl w:val="F86E4F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C2C6BB5"/>
    <w:multiLevelType w:val="hybridMultilevel"/>
    <w:tmpl w:val="00B8F324"/>
    <w:lvl w:ilvl="0" w:tplc="3758A5B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DA3F30">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DB5322"/>
    <w:multiLevelType w:val="hybridMultilevel"/>
    <w:tmpl w:val="5AB2B474"/>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01">
      <w:start w:val="1"/>
      <w:numFmt w:val="bullet"/>
      <w:lvlText w:val=""/>
      <w:lvlJc w:val="left"/>
      <w:pPr>
        <w:tabs>
          <w:tab w:val="num" w:pos="4680"/>
        </w:tabs>
        <w:ind w:left="4680" w:hanging="360"/>
      </w:pPr>
      <w:rPr>
        <w:rFonts w:ascii="Symbol" w:hAnsi="Symbol"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DD16F55"/>
    <w:multiLevelType w:val="hybridMultilevel"/>
    <w:tmpl w:val="B56C806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60894541"/>
    <w:multiLevelType w:val="multilevel"/>
    <w:tmpl w:val="F86E4FD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844586F"/>
    <w:multiLevelType w:val="hybridMultilevel"/>
    <w:tmpl w:val="7270A1E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1855737"/>
    <w:multiLevelType w:val="multilevel"/>
    <w:tmpl w:val="228A8E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729B6445"/>
    <w:multiLevelType w:val="hybridMultilevel"/>
    <w:tmpl w:val="E38E822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72CB2B4A"/>
    <w:multiLevelType w:val="hybridMultilevel"/>
    <w:tmpl w:val="00B8F324"/>
    <w:lvl w:ilvl="0" w:tplc="3758A5B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DA3F30">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CF361B"/>
    <w:multiLevelType w:val="hybridMultilevel"/>
    <w:tmpl w:val="7270A1E0"/>
    <w:lvl w:ilvl="0" w:tplc="73029D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1">
      <w:start w:val="1"/>
      <w:numFmt w:val="bullet"/>
      <w:lvlText w:val=""/>
      <w:lvlJc w:val="left"/>
      <w:pPr>
        <w:tabs>
          <w:tab w:val="num" w:pos="3960"/>
        </w:tabs>
        <w:ind w:left="3960" w:hanging="360"/>
      </w:pPr>
      <w:rPr>
        <w:rFonts w:ascii="Symbol" w:hAnsi="Symbol"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3"/>
  </w:num>
  <w:num w:numId="3">
    <w:abstractNumId w:val="5"/>
  </w:num>
  <w:num w:numId="4">
    <w:abstractNumId w:val="12"/>
  </w:num>
  <w:num w:numId="5">
    <w:abstractNumId w:val="8"/>
  </w:num>
  <w:num w:numId="6">
    <w:abstractNumId w:val="11"/>
  </w:num>
  <w:num w:numId="7">
    <w:abstractNumId w:val="6"/>
  </w:num>
  <w:num w:numId="8">
    <w:abstractNumId w:val="7"/>
  </w:num>
  <w:num w:numId="9">
    <w:abstractNumId w:val="1"/>
  </w:num>
  <w:num w:numId="10">
    <w:abstractNumId w:val="0"/>
  </w:num>
  <w:num w:numId="11">
    <w:abstractNumId w:val="10"/>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BA3"/>
    <w:rsid w:val="000B109D"/>
    <w:rsid w:val="00486EE4"/>
    <w:rsid w:val="005E6BA3"/>
    <w:rsid w:val="007C6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BA3"/>
    <w:pPr>
      <w:spacing w:after="0" w:line="240" w:lineRule="auto"/>
    </w:pPr>
    <w:rPr>
      <w:rFonts w:ascii="Times New Roman" w:eastAsia="Times New Roman" w:hAnsi="Times New Roman" w:cs="Times New Roman"/>
      <w:sz w:val="24"/>
      <w:szCs w:val="24"/>
      <w:lang w:val="af-ZA"/>
    </w:rPr>
  </w:style>
  <w:style w:type="paragraph" w:styleId="Heading2">
    <w:name w:val="heading 2"/>
    <w:basedOn w:val="Normal"/>
    <w:next w:val="Normal"/>
    <w:link w:val="Heading2Char"/>
    <w:qFormat/>
    <w:rsid w:val="005E6BA3"/>
    <w:pPr>
      <w:keepNext/>
      <w:framePr w:w="8765" w:h="992" w:hRule="exact" w:hSpace="181" w:wrap="around" w:vAnchor="page" w:hAnchor="page" w:xAlign="center" w:y="568"/>
      <w:widowControl w:val="0"/>
      <w:jc w:val="center"/>
      <w:outlineLvl w:val="1"/>
    </w:pPr>
    <w:rPr>
      <w:rFonts w:ascii="Bookman Light SSi" w:hAnsi="Bookman Light SSi"/>
      <w:snapToGrid w:val="0"/>
      <w:sz w:val="9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6BA3"/>
    <w:rPr>
      <w:rFonts w:ascii="Bookman Light SSi" w:eastAsia="Times New Roman" w:hAnsi="Bookman Light SSi" w:cs="Times New Roman"/>
      <w:snapToGrid w:val="0"/>
      <w:sz w:val="92"/>
      <w:szCs w:val="20"/>
    </w:rPr>
  </w:style>
  <w:style w:type="paragraph" w:styleId="BodyTextIndent2">
    <w:name w:val="Body Text Indent 2"/>
    <w:basedOn w:val="Normal"/>
    <w:link w:val="BodyTextIndent2Char"/>
    <w:semiHidden/>
    <w:rsid w:val="005E6BA3"/>
    <w:pPr>
      <w:widowControl w:val="0"/>
      <w:tabs>
        <w:tab w:val="left" w:pos="-720"/>
      </w:tabs>
      <w:suppressAutoHyphens/>
      <w:spacing w:line="312" w:lineRule="atLeast"/>
      <w:ind w:left="709" w:hanging="709"/>
      <w:jc w:val="both"/>
    </w:pPr>
    <w:rPr>
      <w:rFonts w:ascii="CG Times" w:hAnsi="CG Times"/>
      <w:snapToGrid w:val="0"/>
      <w:spacing w:val="-2"/>
      <w:szCs w:val="20"/>
      <w:lang w:val="en-GB"/>
    </w:rPr>
  </w:style>
  <w:style w:type="character" w:customStyle="1" w:styleId="BodyTextIndent2Char">
    <w:name w:val="Body Text Indent 2 Char"/>
    <w:basedOn w:val="DefaultParagraphFont"/>
    <w:link w:val="BodyTextIndent2"/>
    <w:semiHidden/>
    <w:rsid w:val="005E6BA3"/>
    <w:rPr>
      <w:rFonts w:ascii="CG Times" w:eastAsia="Times New Roman" w:hAnsi="CG Times" w:cs="Times New Roman"/>
      <w:snapToGrid w:val="0"/>
      <w:spacing w:val="-2"/>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Aby</dc:creator>
  <cp:lastModifiedBy>Aby</cp:lastModifiedBy>
  <cp:revision>1</cp:revision>
  <dcterms:created xsi:type="dcterms:W3CDTF">2019-04-16T08:03:00Z</dcterms:created>
  <dcterms:modified xsi:type="dcterms:W3CDTF">2019-04-16T08:04:00Z</dcterms:modified>
</cp:coreProperties>
</file>